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F3" w:rsidRPr="00462265" w:rsidRDefault="00D81DF3" w:rsidP="00D81DF3">
      <w:pPr>
        <w:spacing w:line="480" w:lineRule="auto"/>
        <w:jc w:val="center"/>
        <w:rPr>
          <w:rFonts w:ascii="Times New Roman" w:hAnsi="Times New Roman" w:cs="Times New Roman"/>
          <w:b/>
          <w:bCs/>
          <w:sz w:val="32"/>
          <w:szCs w:val="32"/>
        </w:rPr>
      </w:pPr>
      <w:r w:rsidRPr="00462265">
        <w:rPr>
          <w:rFonts w:ascii="Times New Roman" w:hAnsi="Times New Roman" w:cs="Times New Roman"/>
          <w:b/>
          <w:bCs/>
          <w:sz w:val="32"/>
          <w:szCs w:val="32"/>
        </w:rPr>
        <w:t>La santé des seniors en emploi</w:t>
      </w:r>
    </w:p>
    <w:p w:rsidR="00D81DF3" w:rsidRPr="00862EAE" w:rsidRDefault="00D81DF3" w:rsidP="00D81DF3">
      <w:pPr>
        <w:spacing w:line="480" w:lineRule="auto"/>
        <w:jc w:val="both"/>
        <w:rPr>
          <w:rFonts w:ascii="Times New Roman" w:hAnsi="Times New Roman" w:cs="Times New Roman"/>
          <w:b/>
          <w:bCs/>
          <w:sz w:val="24"/>
          <w:szCs w:val="24"/>
        </w:rPr>
      </w:pPr>
      <w:r w:rsidRPr="00862EAE">
        <w:rPr>
          <w:rFonts w:ascii="Times New Roman" w:hAnsi="Times New Roman" w:cs="Times New Roman"/>
          <w:b/>
          <w:bCs/>
          <w:sz w:val="24"/>
          <w:szCs w:val="24"/>
        </w:rPr>
        <w:t>Enjeux démographiques</w:t>
      </w:r>
    </w:p>
    <w:p w:rsidR="00D81DF3" w:rsidRPr="00A704C5" w:rsidRDefault="00D81DF3" w:rsidP="00D81DF3">
      <w:pPr>
        <w:autoSpaceDE w:val="0"/>
        <w:autoSpaceDN w:val="0"/>
        <w:adjustRightInd w:val="0"/>
        <w:spacing w:after="0" w:line="480" w:lineRule="auto"/>
        <w:rPr>
          <w:rFonts w:ascii="Times New Roman" w:hAnsi="Times New Roman" w:cs="Times New Roman"/>
          <w:sz w:val="24"/>
          <w:szCs w:val="24"/>
        </w:rPr>
      </w:pPr>
      <w:r w:rsidRPr="00A704C5">
        <w:rPr>
          <w:rFonts w:ascii="Times New Roman" w:hAnsi="Times New Roman" w:cs="Times New Roman"/>
          <w:bCs/>
          <w:iCs/>
          <w:sz w:val="24"/>
          <w:szCs w:val="24"/>
        </w:rPr>
        <w:t xml:space="preserve">En France, de 1960 à 2012, </w:t>
      </w:r>
      <w:r w:rsidRPr="00A704C5">
        <w:rPr>
          <w:rFonts w:ascii="Times New Roman" w:hAnsi="Times New Roman" w:cs="Times New Roman"/>
          <w:bCs/>
          <w:sz w:val="24"/>
          <w:szCs w:val="24"/>
        </w:rPr>
        <w:t>l’espérance de vie à la naissance a régulièrement augmenté d’un trimestre par an de 70.8 ans à 81.5 ans alors que l’âge de cessation d’activité a décrut dramatiquement de 68 à 60 ans pour se stabiliser ces 2 dernières années à cet âge</w:t>
      </w:r>
      <w:r w:rsidR="00AA0E5E">
        <w:rPr>
          <w:rFonts w:ascii="Times New Roman" w:hAnsi="Times New Roman" w:cs="Times New Roman"/>
          <w:bCs/>
          <w:sz w:val="24"/>
          <w:szCs w:val="24"/>
        </w:rPr>
        <w:t>.</w:t>
      </w:r>
      <w:r w:rsidRPr="00A704C5">
        <w:rPr>
          <w:rFonts w:ascii="Times New Roman" w:hAnsi="Times New Roman" w:cs="Times New Roman"/>
          <w:bCs/>
          <w:sz w:val="24"/>
          <w:szCs w:val="24"/>
        </w:rPr>
        <w:t xml:space="preserve"> </w:t>
      </w:r>
      <w:r w:rsidR="00AA0E5E" w:rsidRPr="00A704C5">
        <w:rPr>
          <w:rFonts w:ascii="Times New Roman" w:hAnsi="Times New Roman" w:cs="Times New Roman"/>
          <w:bCs/>
          <w:sz w:val="24"/>
          <w:szCs w:val="24"/>
        </w:rPr>
        <w:t>En 1960</w:t>
      </w:r>
      <w:r w:rsidR="00AA0E5E">
        <w:rPr>
          <w:rFonts w:ascii="Times New Roman" w:hAnsi="Times New Roman" w:cs="Times New Roman"/>
          <w:bCs/>
          <w:sz w:val="24"/>
          <w:szCs w:val="24"/>
        </w:rPr>
        <w:t xml:space="preserve"> les travailleurs</w:t>
      </w:r>
      <w:r w:rsidRPr="00A704C5">
        <w:rPr>
          <w:rFonts w:ascii="Times New Roman" w:hAnsi="Times New Roman" w:cs="Times New Roman"/>
          <w:bCs/>
          <w:sz w:val="24"/>
          <w:szCs w:val="24"/>
        </w:rPr>
        <w:t xml:space="preserve"> </w:t>
      </w:r>
      <w:r w:rsidR="00AA0E5E">
        <w:rPr>
          <w:rFonts w:ascii="Times New Roman" w:hAnsi="Times New Roman" w:cs="Times New Roman"/>
          <w:bCs/>
          <w:sz w:val="24"/>
          <w:szCs w:val="24"/>
        </w:rPr>
        <w:t xml:space="preserve"> </w:t>
      </w:r>
      <w:r w:rsidRPr="00A704C5">
        <w:rPr>
          <w:rFonts w:ascii="Times New Roman" w:hAnsi="Times New Roman" w:cs="Times New Roman"/>
          <w:bCs/>
          <w:sz w:val="24"/>
          <w:szCs w:val="24"/>
        </w:rPr>
        <w:t>pouvai</w:t>
      </w:r>
      <w:r w:rsidR="00AA0E5E">
        <w:rPr>
          <w:rFonts w:ascii="Times New Roman" w:hAnsi="Times New Roman" w:cs="Times New Roman"/>
          <w:bCs/>
          <w:sz w:val="24"/>
          <w:szCs w:val="24"/>
        </w:rPr>
        <w:t>en</w:t>
      </w:r>
      <w:r w:rsidRPr="00A704C5">
        <w:rPr>
          <w:rFonts w:ascii="Times New Roman" w:hAnsi="Times New Roman" w:cs="Times New Roman"/>
          <w:bCs/>
          <w:sz w:val="24"/>
          <w:szCs w:val="24"/>
        </w:rPr>
        <w:t>t espérer jouir de leur retraite pendant en moyenne 2.3 ans, alors qu’</w:t>
      </w:r>
      <w:r w:rsidR="00AA0E5E">
        <w:rPr>
          <w:rFonts w:ascii="Times New Roman" w:hAnsi="Times New Roman" w:cs="Times New Roman"/>
          <w:bCs/>
          <w:sz w:val="24"/>
          <w:szCs w:val="24"/>
        </w:rPr>
        <w:t xml:space="preserve">actuellement </w:t>
      </w:r>
      <w:r w:rsidRPr="00A704C5">
        <w:rPr>
          <w:rFonts w:ascii="Times New Roman" w:hAnsi="Times New Roman" w:cs="Times New Roman"/>
          <w:bCs/>
          <w:sz w:val="24"/>
          <w:szCs w:val="24"/>
        </w:rPr>
        <w:t xml:space="preserve"> </w:t>
      </w:r>
      <w:r w:rsidR="00AA0E5E">
        <w:rPr>
          <w:rFonts w:ascii="Times New Roman" w:hAnsi="Times New Roman" w:cs="Times New Roman"/>
          <w:bCs/>
          <w:sz w:val="24"/>
          <w:szCs w:val="24"/>
        </w:rPr>
        <w:t>les 1</w:t>
      </w:r>
      <w:r w:rsidR="005E50A4">
        <w:rPr>
          <w:rFonts w:ascii="Times New Roman" w:hAnsi="Times New Roman" w:cs="Times New Roman"/>
          <w:bCs/>
          <w:sz w:val="24"/>
          <w:szCs w:val="24"/>
        </w:rPr>
        <w:t>5.6</w:t>
      </w:r>
      <w:r w:rsidR="00AA0E5E">
        <w:rPr>
          <w:rFonts w:ascii="Times New Roman" w:hAnsi="Times New Roman" w:cs="Times New Roman"/>
          <w:bCs/>
          <w:sz w:val="24"/>
          <w:szCs w:val="24"/>
        </w:rPr>
        <w:t xml:space="preserve"> millions de retraités français peuvent</w:t>
      </w:r>
      <w:r w:rsidRPr="00A704C5">
        <w:rPr>
          <w:rFonts w:ascii="Times New Roman" w:hAnsi="Times New Roman" w:cs="Times New Roman"/>
          <w:bCs/>
          <w:sz w:val="24"/>
          <w:szCs w:val="24"/>
        </w:rPr>
        <w:t xml:space="preserve"> espérer être en retraite pen</w:t>
      </w:r>
      <w:r w:rsidR="00AA0E5E">
        <w:rPr>
          <w:rFonts w:ascii="Times New Roman" w:hAnsi="Times New Roman" w:cs="Times New Roman"/>
          <w:bCs/>
          <w:sz w:val="24"/>
          <w:szCs w:val="24"/>
        </w:rPr>
        <w:t xml:space="preserve">dant  plus de 21 ans (figure 1). Ce privilège social </w:t>
      </w:r>
      <w:r w:rsidRPr="00A704C5">
        <w:rPr>
          <w:rFonts w:ascii="Times New Roman" w:hAnsi="Times New Roman" w:cs="Times New Roman"/>
          <w:bCs/>
          <w:sz w:val="24"/>
          <w:szCs w:val="24"/>
        </w:rPr>
        <w:t>ne fera que s’accroître dans le futur puisqu’en 2050, près de la moitié de la population</w:t>
      </w:r>
      <w:r w:rsidR="00AA0E5E">
        <w:rPr>
          <w:rFonts w:ascii="Times New Roman" w:hAnsi="Times New Roman" w:cs="Times New Roman"/>
          <w:bCs/>
          <w:sz w:val="24"/>
          <w:szCs w:val="24"/>
        </w:rPr>
        <w:t xml:space="preserve"> française et </w:t>
      </w:r>
      <w:r w:rsidRPr="00A704C5">
        <w:rPr>
          <w:rFonts w:ascii="Times New Roman" w:hAnsi="Times New Roman" w:cs="Times New Roman"/>
          <w:bCs/>
          <w:sz w:val="24"/>
          <w:szCs w:val="24"/>
        </w:rPr>
        <w:t xml:space="preserve"> européenne aura plus de 50 ans</w:t>
      </w:r>
      <w:r w:rsidRPr="00A704C5">
        <w:rPr>
          <w:rStyle w:val="Appeldenotedefin"/>
          <w:rFonts w:ascii="Times New Roman" w:hAnsi="Times New Roman" w:cs="Times New Roman"/>
          <w:bCs/>
          <w:sz w:val="24"/>
          <w:szCs w:val="24"/>
        </w:rPr>
        <w:endnoteReference w:id="1"/>
      </w:r>
      <w:r w:rsidR="00AA0E5E">
        <w:rPr>
          <w:rFonts w:ascii="Times New Roman" w:hAnsi="Times New Roman" w:cs="Times New Roman"/>
          <w:bCs/>
          <w:sz w:val="24"/>
          <w:szCs w:val="24"/>
        </w:rPr>
        <w:t>. Or</w:t>
      </w:r>
      <w:r w:rsidRPr="00A704C5">
        <w:rPr>
          <w:rFonts w:ascii="Times New Roman" w:hAnsi="Times New Roman" w:cs="Times New Roman"/>
          <w:bCs/>
          <w:sz w:val="24"/>
          <w:szCs w:val="24"/>
        </w:rPr>
        <w:t xml:space="preserve"> le système économique et social ne peut pas reposer sur 25% de la population active. </w:t>
      </w:r>
      <w:r w:rsidRPr="00A704C5">
        <w:rPr>
          <w:rFonts w:ascii="Times New Roman" w:hAnsi="Times New Roman" w:cs="Times New Roman"/>
          <w:sz w:val="24"/>
          <w:szCs w:val="24"/>
        </w:rPr>
        <w:t xml:space="preserve">C’est l’une des raisons pour lesquelles </w:t>
      </w:r>
      <w:r w:rsidRPr="00A704C5">
        <w:rPr>
          <w:rFonts w:ascii="Times New Roman" w:eastAsia="Calibri" w:hAnsi="Times New Roman" w:cs="Times New Roman"/>
          <w:sz w:val="24"/>
          <w:szCs w:val="24"/>
        </w:rPr>
        <w:t xml:space="preserve">la commission de </w:t>
      </w:r>
      <w:r w:rsidRPr="00A704C5">
        <w:rPr>
          <w:rFonts w:ascii="Times New Roman" w:hAnsi="Times New Roman" w:cs="Times New Roman"/>
          <w:sz w:val="24"/>
          <w:szCs w:val="24"/>
        </w:rPr>
        <w:t xml:space="preserve">l'emploi du Parlement européen ont mis en place </w:t>
      </w:r>
      <w:r w:rsidRPr="00A704C5">
        <w:rPr>
          <w:rFonts w:ascii="Times New Roman" w:eastAsia="Calibri" w:hAnsi="Times New Roman" w:cs="Times New Roman"/>
          <w:sz w:val="24"/>
          <w:szCs w:val="24"/>
        </w:rPr>
        <w:t>l'Année européenne du vieillissement actif et de la solidarité intergénérationnelle en 2012</w:t>
      </w:r>
      <w:r w:rsidRPr="00A704C5">
        <w:rPr>
          <w:rFonts w:ascii="Times New Roman" w:hAnsi="Times New Roman" w:cs="Times New Roman"/>
          <w:sz w:val="24"/>
          <w:szCs w:val="24"/>
        </w:rPr>
        <w:t xml:space="preserve">  dont </w:t>
      </w:r>
      <w:r w:rsidRPr="00A704C5">
        <w:rPr>
          <w:rFonts w:ascii="Times New Roman" w:eastAsia="Calibri" w:hAnsi="Times New Roman" w:cs="Times New Roman"/>
          <w:sz w:val="24"/>
          <w:szCs w:val="24"/>
        </w:rPr>
        <w:t>les principaux objectifs</w:t>
      </w:r>
      <w:r w:rsidRPr="00A704C5">
        <w:rPr>
          <w:rFonts w:ascii="Times New Roman" w:hAnsi="Times New Roman" w:cs="Times New Roman"/>
          <w:sz w:val="24"/>
          <w:szCs w:val="24"/>
        </w:rPr>
        <w:t xml:space="preserve"> ont été de m</w:t>
      </w:r>
      <w:r w:rsidRPr="00A704C5">
        <w:rPr>
          <w:rFonts w:ascii="Times New Roman" w:eastAsia="Calibri" w:hAnsi="Times New Roman" w:cs="Times New Roman"/>
          <w:sz w:val="24"/>
          <w:szCs w:val="24"/>
        </w:rPr>
        <w:t>aintenir la vitalité des personnes âgées, renforcer leur participation à la société et éliminer les obstacles entre les générations</w:t>
      </w:r>
      <w:r w:rsidRPr="00A704C5">
        <w:rPr>
          <w:rFonts w:ascii="Times New Roman" w:hAnsi="Times New Roman" w:cs="Times New Roman"/>
          <w:sz w:val="24"/>
          <w:szCs w:val="24"/>
        </w:rPr>
        <w:t>. C'est dire à quel point la santé des seniors est fondamentale pour qu’ils restent en activité et la prévention tout au long de la vie doit jouer un rôle majeur.</w:t>
      </w:r>
    </w:p>
    <w:p w:rsidR="00D81DF3" w:rsidRPr="00A704C5" w:rsidRDefault="00D81DF3" w:rsidP="00D81DF3">
      <w:pPr>
        <w:spacing w:line="480" w:lineRule="auto"/>
        <w:jc w:val="both"/>
        <w:rPr>
          <w:rFonts w:ascii="Times New Roman" w:hAnsi="Times New Roman" w:cs="Times New Roman"/>
          <w:bCs/>
          <w:sz w:val="24"/>
          <w:szCs w:val="24"/>
        </w:rPr>
      </w:pPr>
      <w:r w:rsidRPr="00A704C5">
        <w:rPr>
          <w:rFonts w:ascii="Times New Roman" w:hAnsi="Times New Roman" w:cs="Times New Roman"/>
          <w:bCs/>
          <w:iCs/>
          <w:sz w:val="24"/>
          <w:szCs w:val="24"/>
        </w:rPr>
        <w:t>Figure 1 : Evolution de l’espérance de vie à la naissance et de l’âge de cessation d’activité en France entre 1960 et 2012.</w:t>
      </w:r>
    </w:p>
    <w:p w:rsidR="00D81DF3" w:rsidRPr="00F879B1" w:rsidRDefault="00462265" w:rsidP="00D81DF3">
      <w:pPr>
        <w:spacing w:line="480" w:lineRule="auto"/>
        <w:jc w:val="center"/>
        <w:rPr>
          <w:rFonts w:ascii="Times New Roman" w:hAnsi="Times New Roman" w:cs="Times New Roman"/>
          <w:bCs/>
          <w:i/>
          <w:iCs/>
          <w:sz w:val="24"/>
          <w:szCs w:val="24"/>
        </w:rPr>
      </w:pPr>
      <w:r w:rsidRPr="00F879B1">
        <w:rPr>
          <w:rFonts w:ascii="Times New Roman" w:hAnsi="Times New Roman" w:cs="Times New Roman"/>
          <w:bCs/>
          <w:i/>
          <w:iCs/>
          <w:sz w:val="24"/>
          <w:szCs w:val="24"/>
        </w:rPr>
        <w:object w:dxaOrig="7191"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5pt;height:148.75pt" o:ole="">
            <v:imagedata r:id="rId7" o:title=""/>
          </v:shape>
          <o:OLEObject Type="Embed" ProgID="PowerPoint.Slide.12" ShapeID="_x0000_i1025" DrawAspect="Content" ObjectID="_1491395876" r:id="rId8"/>
        </w:object>
      </w:r>
    </w:p>
    <w:p w:rsidR="00D81DF3" w:rsidRPr="00862EAE" w:rsidRDefault="00D81DF3" w:rsidP="00D81DF3">
      <w:pPr>
        <w:spacing w:line="480" w:lineRule="auto"/>
        <w:jc w:val="both"/>
        <w:rPr>
          <w:rFonts w:ascii="Times New Roman" w:hAnsi="Times New Roman" w:cs="Times New Roman"/>
          <w:b/>
          <w:bCs/>
          <w:sz w:val="24"/>
          <w:szCs w:val="24"/>
        </w:rPr>
      </w:pPr>
      <w:r w:rsidRPr="00862EAE">
        <w:rPr>
          <w:rFonts w:ascii="Times New Roman" w:hAnsi="Times New Roman" w:cs="Times New Roman"/>
          <w:b/>
          <w:bCs/>
          <w:sz w:val="24"/>
          <w:szCs w:val="24"/>
        </w:rPr>
        <w:lastRenderedPageBreak/>
        <w:t xml:space="preserve">Enjeux économiques : Taux d’emploi des seniors </w:t>
      </w:r>
    </w:p>
    <w:p w:rsidR="00D81DF3" w:rsidRPr="00F879B1" w:rsidRDefault="00D81DF3" w:rsidP="00D81DF3">
      <w:pPr>
        <w:spacing w:line="480" w:lineRule="auto"/>
        <w:jc w:val="both"/>
        <w:rPr>
          <w:rFonts w:ascii="Times New Roman" w:hAnsi="Times New Roman" w:cs="Times New Roman"/>
          <w:bCs/>
          <w:sz w:val="24"/>
          <w:szCs w:val="24"/>
        </w:rPr>
      </w:pPr>
      <w:r w:rsidRPr="00F879B1">
        <w:rPr>
          <w:rFonts w:ascii="Times New Roman" w:hAnsi="Times New Roman" w:cs="Times New Roman"/>
          <w:bCs/>
          <w:iCs/>
          <w:sz w:val="24"/>
          <w:szCs w:val="24"/>
        </w:rPr>
        <w:t xml:space="preserve">On comprend pourquoi les différentes réformes tendant à repousser l’âge de la retraite </w:t>
      </w:r>
      <w:r w:rsidRPr="00F879B1">
        <w:rPr>
          <w:rFonts w:ascii="Times New Roman" w:hAnsi="Times New Roman" w:cs="Times New Roman"/>
          <w:bCs/>
          <w:sz w:val="24"/>
          <w:szCs w:val="24"/>
        </w:rPr>
        <w:t>avec les difficultés que l’on connaît</w:t>
      </w:r>
      <w:r>
        <w:rPr>
          <w:rFonts w:ascii="Times New Roman" w:hAnsi="Times New Roman" w:cs="Times New Roman"/>
          <w:bCs/>
          <w:sz w:val="24"/>
          <w:szCs w:val="24"/>
        </w:rPr>
        <w:t xml:space="preserve"> sont indispensables</w:t>
      </w:r>
      <w:r w:rsidRPr="00F879B1">
        <w:rPr>
          <w:rFonts w:ascii="Times New Roman" w:hAnsi="Times New Roman" w:cs="Times New Roman"/>
          <w:bCs/>
          <w:iCs/>
          <w:sz w:val="24"/>
          <w:szCs w:val="24"/>
        </w:rPr>
        <w:t xml:space="preserve">. </w:t>
      </w:r>
      <w:r w:rsidRPr="00F879B1">
        <w:rPr>
          <w:rFonts w:ascii="Times New Roman" w:hAnsi="Times New Roman" w:cs="Times New Roman"/>
          <w:bCs/>
          <w:sz w:val="24"/>
          <w:szCs w:val="24"/>
        </w:rPr>
        <w:t xml:space="preserve">En France en 2013  on comptait </w:t>
      </w:r>
      <w:r>
        <w:rPr>
          <w:rFonts w:ascii="Times New Roman" w:hAnsi="Times New Roman" w:cs="Times New Roman"/>
          <w:bCs/>
          <w:sz w:val="24"/>
          <w:szCs w:val="24"/>
        </w:rPr>
        <w:t>plus de 3.7 millions de</w:t>
      </w:r>
      <w:r w:rsidRPr="00F879B1">
        <w:rPr>
          <w:rFonts w:ascii="Times New Roman" w:hAnsi="Times New Roman" w:cs="Times New Roman"/>
          <w:bCs/>
          <w:sz w:val="24"/>
          <w:szCs w:val="24"/>
        </w:rPr>
        <w:t xml:space="preserve"> seniors en emploi  de 55 à 64 ans soit 45,6% de cette classe d’âge</w:t>
      </w:r>
      <w:r>
        <w:rPr>
          <w:rFonts w:ascii="Times New Roman" w:hAnsi="Times New Roman" w:cs="Times New Roman"/>
          <w:bCs/>
          <w:sz w:val="24"/>
          <w:szCs w:val="24"/>
        </w:rPr>
        <w:t xml:space="preserve"> dont</w:t>
      </w:r>
      <w:r w:rsidRPr="00F879B1">
        <w:rPr>
          <w:rFonts w:ascii="Times New Roman" w:hAnsi="Times New Roman" w:cs="Times New Roman"/>
          <w:bCs/>
          <w:sz w:val="24"/>
          <w:szCs w:val="24"/>
        </w:rPr>
        <w:t xml:space="preserve">  67,1 % entre 55 et 59 ans et 21,7 % entre 60 et 64</w:t>
      </w:r>
      <w:r>
        <w:rPr>
          <w:rFonts w:ascii="Times New Roman" w:hAnsi="Times New Roman" w:cs="Times New Roman"/>
          <w:bCs/>
          <w:sz w:val="24"/>
          <w:szCs w:val="24"/>
        </w:rPr>
        <w:t xml:space="preserve">. </w:t>
      </w:r>
      <w:r w:rsidRPr="00F879B1">
        <w:rPr>
          <w:rFonts w:ascii="Times New Roman" w:hAnsi="Times New Roman" w:cs="Times New Roman"/>
          <w:bCs/>
          <w:sz w:val="24"/>
          <w:szCs w:val="24"/>
        </w:rPr>
        <w:t xml:space="preserve">Le taux de chômage est de 7,1%. </w:t>
      </w:r>
      <w:r>
        <w:rPr>
          <w:rFonts w:ascii="Times New Roman" w:hAnsi="Times New Roman" w:cs="Times New Roman"/>
          <w:bCs/>
          <w:sz w:val="24"/>
          <w:szCs w:val="24"/>
        </w:rPr>
        <w:t>De plus près de 250 000</w:t>
      </w:r>
      <w:r w:rsidRPr="00F879B1">
        <w:rPr>
          <w:rFonts w:ascii="Times New Roman" w:hAnsi="Times New Roman" w:cs="Times New Roman"/>
          <w:bCs/>
          <w:sz w:val="24"/>
          <w:szCs w:val="24"/>
        </w:rPr>
        <w:t xml:space="preserve"> seniors</w:t>
      </w:r>
      <w:r>
        <w:rPr>
          <w:rFonts w:ascii="Times New Roman" w:hAnsi="Times New Roman" w:cs="Times New Roman"/>
          <w:bCs/>
          <w:sz w:val="24"/>
          <w:szCs w:val="24"/>
        </w:rPr>
        <w:t xml:space="preserve"> sont encore actifs</w:t>
      </w:r>
      <w:r w:rsidRPr="00F879B1">
        <w:rPr>
          <w:rFonts w:ascii="Times New Roman" w:hAnsi="Times New Roman" w:cs="Times New Roman"/>
          <w:bCs/>
          <w:sz w:val="24"/>
          <w:szCs w:val="24"/>
        </w:rPr>
        <w:t xml:space="preserve"> </w:t>
      </w:r>
      <w:r>
        <w:rPr>
          <w:rFonts w:ascii="Times New Roman" w:hAnsi="Times New Roman" w:cs="Times New Roman"/>
          <w:bCs/>
          <w:sz w:val="24"/>
          <w:szCs w:val="24"/>
        </w:rPr>
        <w:t>entre</w:t>
      </w:r>
      <w:r w:rsidRPr="00F879B1">
        <w:rPr>
          <w:rFonts w:ascii="Times New Roman" w:hAnsi="Times New Roman" w:cs="Times New Roman"/>
          <w:bCs/>
          <w:sz w:val="24"/>
          <w:szCs w:val="24"/>
        </w:rPr>
        <w:t xml:space="preserve"> 65 à 74 ans</w:t>
      </w:r>
      <w:r w:rsidRPr="00F879B1">
        <w:rPr>
          <w:rFonts w:ascii="Times New Roman" w:hAnsi="Times New Roman" w:cs="Times New Roman"/>
          <w:b/>
          <w:bCs/>
          <w:color w:val="B82841"/>
          <w:sz w:val="24"/>
          <w:szCs w:val="24"/>
        </w:rPr>
        <w:t xml:space="preserve"> </w:t>
      </w:r>
      <w:r w:rsidRPr="00F879B1">
        <w:rPr>
          <w:rFonts w:ascii="Times New Roman" w:hAnsi="Times New Roman" w:cs="Times New Roman"/>
          <w:bCs/>
          <w:sz w:val="24"/>
          <w:szCs w:val="24"/>
        </w:rPr>
        <w:t>soit 4% de cette classe d’âge</w:t>
      </w:r>
      <w:r w:rsidRPr="00F879B1">
        <w:rPr>
          <w:rStyle w:val="Appeldenotedefin"/>
          <w:rFonts w:ascii="Times New Roman" w:hAnsi="Times New Roman" w:cs="Times New Roman"/>
          <w:bCs/>
          <w:sz w:val="24"/>
          <w:szCs w:val="24"/>
        </w:rPr>
        <w:endnoteReference w:id="2"/>
      </w:r>
      <w:r w:rsidRPr="00F879B1">
        <w:rPr>
          <w:rFonts w:ascii="Times New Roman" w:hAnsi="Times New Roman" w:cs="Times New Roman"/>
          <w:bCs/>
          <w:sz w:val="24"/>
          <w:szCs w:val="24"/>
        </w:rPr>
        <w:t xml:space="preserve">.  </w:t>
      </w:r>
      <w:r>
        <w:rPr>
          <w:rFonts w:ascii="Times New Roman" w:hAnsi="Times New Roman" w:cs="Times New Roman"/>
          <w:bCs/>
          <w:sz w:val="24"/>
          <w:szCs w:val="24"/>
        </w:rPr>
        <w:t xml:space="preserve">Ce taux d’emploi des 55-64 ans </w:t>
      </w:r>
      <w:r w:rsidRPr="00F879B1">
        <w:rPr>
          <w:rFonts w:ascii="Times New Roman" w:hAnsi="Times New Roman" w:cs="Times New Roman"/>
          <w:bCs/>
          <w:sz w:val="24"/>
          <w:szCs w:val="24"/>
        </w:rPr>
        <w:t>a régulièrement progressé ces dernières années sans atteindre cependant la barre des 50% qui avait été fixée au niveau européen</w:t>
      </w:r>
      <w:r w:rsidRPr="00F879B1">
        <w:rPr>
          <w:rFonts w:ascii="Times New Roman" w:hAnsi="Times New Roman" w:cs="Times New Roman"/>
          <w:b/>
          <w:bCs/>
          <w:color w:val="B82841"/>
          <w:sz w:val="24"/>
          <w:szCs w:val="24"/>
        </w:rPr>
        <w:t>.</w:t>
      </w:r>
      <w:r w:rsidRPr="00F879B1">
        <w:rPr>
          <w:rFonts w:ascii="Times New Roman" w:hAnsi="Times New Roman" w:cs="Times New Roman"/>
          <w:bCs/>
          <w:sz w:val="24"/>
          <w:szCs w:val="24"/>
        </w:rPr>
        <w:t xml:space="preserve"> L’âge reste le premier critère de discrimination à l’embauche</w:t>
      </w:r>
      <w:r w:rsidRPr="00F879B1">
        <w:rPr>
          <w:rStyle w:val="Appeldenotedefin"/>
          <w:rFonts w:ascii="Times New Roman" w:hAnsi="Times New Roman" w:cs="Times New Roman"/>
          <w:bCs/>
          <w:sz w:val="24"/>
          <w:szCs w:val="24"/>
        </w:rPr>
        <w:endnoteReference w:id="3"/>
      </w:r>
      <w:r>
        <w:rPr>
          <w:rFonts w:ascii="Times New Roman" w:hAnsi="Times New Roman" w:cs="Times New Roman"/>
          <w:bCs/>
          <w:sz w:val="24"/>
          <w:szCs w:val="24"/>
        </w:rPr>
        <w:t xml:space="preserve"> </w:t>
      </w:r>
      <w:r w:rsidRPr="00F879B1">
        <w:rPr>
          <w:rFonts w:ascii="Times New Roman" w:hAnsi="Times New Roman" w:cs="Times New Roman"/>
          <w:bCs/>
          <w:sz w:val="24"/>
          <w:szCs w:val="24"/>
        </w:rPr>
        <w:t>: « Etre âgé(e) de plus de 55 ans » reste une triste réalité pour 81% des agents de la fonction publique et 82% de ceux du privé.</w:t>
      </w:r>
      <w:r w:rsidRPr="00F879B1">
        <w:rPr>
          <w:rFonts w:ascii="Times New Roman" w:hAnsi="Times New Roman" w:cs="Times New Roman"/>
          <w:b/>
          <w:bCs/>
          <w:color w:val="B82841"/>
          <w:sz w:val="24"/>
          <w:szCs w:val="24"/>
        </w:rPr>
        <w:t xml:space="preserve"> </w:t>
      </w:r>
      <w:r w:rsidRPr="00F879B1">
        <w:rPr>
          <w:rFonts w:ascii="Times New Roman" w:hAnsi="Times New Roman" w:cs="Times New Roman"/>
          <w:bCs/>
          <w:sz w:val="24"/>
          <w:szCs w:val="24"/>
        </w:rPr>
        <w:t xml:space="preserve">Les types d’emplois des 55-64 ans </w:t>
      </w:r>
      <w:r w:rsidRPr="00F879B1">
        <w:rPr>
          <w:rStyle w:val="Appeldenotedefin"/>
          <w:rFonts w:ascii="Times New Roman" w:hAnsi="Times New Roman" w:cs="Times New Roman"/>
          <w:bCs/>
          <w:sz w:val="24"/>
          <w:szCs w:val="24"/>
        </w:rPr>
        <w:endnoteReference w:id="4"/>
      </w:r>
      <w:r w:rsidRPr="00F879B1">
        <w:rPr>
          <w:rFonts w:ascii="Times New Roman" w:hAnsi="Times New Roman" w:cs="Times New Roman"/>
          <w:bCs/>
          <w:sz w:val="24"/>
          <w:szCs w:val="24"/>
        </w:rPr>
        <w:t xml:space="preserve"> sont les suivants : 17.20% non salariés, 61% salariés du privé ou des entreprises publiques, 21.8% salariés de la fonction publique. (Figure 2).</w:t>
      </w:r>
    </w:p>
    <w:p w:rsidR="00D81DF3" w:rsidRPr="00F879B1" w:rsidRDefault="00D81DF3" w:rsidP="00D81DF3">
      <w:pPr>
        <w:spacing w:line="480" w:lineRule="auto"/>
        <w:jc w:val="both"/>
        <w:rPr>
          <w:rFonts w:ascii="Times New Roman" w:hAnsi="Times New Roman" w:cs="Times New Roman"/>
          <w:bCs/>
          <w:sz w:val="24"/>
          <w:szCs w:val="24"/>
        </w:rPr>
      </w:pPr>
      <w:r w:rsidRPr="00F879B1">
        <w:rPr>
          <w:rFonts w:ascii="Times New Roman" w:hAnsi="Times New Roman" w:cs="Times New Roman"/>
          <w:bCs/>
          <w:iCs/>
          <w:sz w:val="24"/>
          <w:szCs w:val="24"/>
        </w:rPr>
        <w:t>Figure 2 :</w:t>
      </w:r>
      <w:r w:rsidRPr="00F879B1">
        <w:rPr>
          <w:rFonts w:ascii="Times New Roman" w:hAnsi="Times New Roman" w:cs="Times New Roman"/>
          <w:b/>
          <w:bCs/>
          <w:color w:val="B82841"/>
          <w:sz w:val="24"/>
          <w:szCs w:val="24"/>
        </w:rPr>
        <w:t xml:space="preserve"> </w:t>
      </w:r>
      <w:r w:rsidRPr="00F879B1">
        <w:rPr>
          <w:rFonts w:ascii="Times New Roman" w:hAnsi="Times New Roman" w:cs="Times New Roman"/>
          <w:bCs/>
          <w:sz w:val="24"/>
          <w:szCs w:val="24"/>
        </w:rPr>
        <w:t>Types d’emploi des 55-64 ans en France en 2012</w:t>
      </w:r>
    </w:p>
    <w:p w:rsidR="00D81DF3" w:rsidRPr="00F879B1" w:rsidRDefault="00D81DF3" w:rsidP="00D81DF3">
      <w:pPr>
        <w:spacing w:line="480" w:lineRule="auto"/>
        <w:jc w:val="center"/>
        <w:rPr>
          <w:rFonts w:ascii="Times New Roman" w:hAnsi="Times New Roman" w:cs="Times New Roman"/>
          <w:b/>
          <w:bCs/>
          <w:color w:val="B82841"/>
          <w:sz w:val="24"/>
          <w:szCs w:val="24"/>
        </w:rPr>
      </w:pPr>
      <w:r w:rsidRPr="00F879B1">
        <w:rPr>
          <w:rFonts w:ascii="Times New Roman" w:hAnsi="Times New Roman" w:cs="Times New Roman"/>
          <w:b/>
          <w:bCs/>
          <w:color w:val="B82841"/>
          <w:sz w:val="24"/>
          <w:szCs w:val="24"/>
        </w:rPr>
        <w:object w:dxaOrig="7191" w:dyaOrig="5390">
          <v:shape id="_x0000_i1026" type="#_x0000_t75" style="width:276.45pt;height:207.15pt" o:ole="">
            <v:imagedata r:id="rId9" o:title=""/>
          </v:shape>
          <o:OLEObject Type="Embed" ProgID="PowerPoint.Slide.12" ShapeID="_x0000_i1026" DrawAspect="Content" ObjectID="_1491395877" r:id="rId10"/>
        </w:object>
      </w:r>
    </w:p>
    <w:p w:rsidR="00D81DF3" w:rsidRPr="00D81DF3" w:rsidRDefault="00D81DF3" w:rsidP="00D81DF3">
      <w:pPr>
        <w:autoSpaceDE w:val="0"/>
        <w:autoSpaceDN w:val="0"/>
        <w:adjustRightInd w:val="0"/>
        <w:spacing w:before="240" w:after="0" w:line="480" w:lineRule="auto"/>
        <w:jc w:val="both"/>
        <w:rPr>
          <w:rFonts w:ascii="Times New Roman" w:hAnsi="Times New Roman" w:cs="Times New Roman"/>
          <w:b/>
          <w:bCs/>
          <w:sz w:val="24"/>
          <w:szCs w:val="24"/>
        </w:rPr>
      </w:pPr>
      <w:r w:rsidRPr="00D81DF3">
        <w:rPr>
          <w:rFonts w:ascii="Times New Roman" w:hAnsi="Times New Roman" w:cs="Times New Roman"/>
          <w:b/>
          <w:bCs/>
          <w:sz w:val="24"/>
          <w:szCs w:val="24"/>
        </w:rPr>
        <w:t xml:space="preserve">Enjeux de santé publique : Qu’en est-il de la santé des seniors ? </w:t>
      </w:r>
    </w:p>
    <w:p w:rsidR="00713FB8" w:rsidRPr="00713FB8" w:rsidRDefault="00D81DF3" w:rsidP="00713FB8">
      <w:pPr>
        <w:pStyle w:val="Sansinterligne"/>
        <w:spacing w:line="480" w:lineRule="auto"/>
        <w:rPr>
          <w:rFonts w:ascii="Times New Roman" w:hAnsi="Times New Roman" w:cs="Times New Roman"/>
          <w:sz w:val="24"/>
          <w:szCs w:val="24"/>
        </w:rPr>
      </w:pPr>
      <w:r w:rsidRPr="00D81DF3">
        <w:rPr>
          <w:rFonts w:ascii="Times New Roman" w:hAnsi="Times New Roman" w:cs="Times New Roman"/>
          <w:sz w:val="24"/>
          <w:szCs w:val="24"/>
        </w:rPr>
        <w:t xml:space="preserve">L’espérance moyenne de vie est l’une des façons d’apprécier l’état de santé d’une population. Elle n'est jamais acquise définitivement et elle est marquée par des inégalités individuelles et </w:t>
      </w:r>
      <w:r w:rsidRPr="00D81DF3">
        <w:rPr>
          <w:rFonts w:ascii="Times New Roman" w:hAnsi="Times New Roman" w:cs="Times New Roman"/>
          <w:sz w:val="24"/>
          <w:szCs w:val="24"/>
        </w:rPr>
        <w:lastRenderedPageBreak/>
        <w:t>globales majeures et inacceptables</w:t>
      </w:r>
      <w:r w:rsidR="00882289">
        <w:rPr>
          <w:rFonts w:ascii="Times New Roman" w:hAnsi="Times New Roman" w:cs="Times New Roman"/>
          <w:sz w:val="24"/>
          <w:szCs w:val="24"/>
        </w:rPr>
        <w:t xml:space="preserve"> selon les catégories socio professionnelles</w:t>
      </w:r>
      <w:r w:rsidRPr="00D81DF3">
        <w:rPr>
          <w:rFonts w:ascii="Times New Roman" w:hAnsi="Times New Roman" w:cs="Times New Roman"/>
          <w:sz w:val="24"/>
          <w:szCs w:val="24"/>
        </w:rPr>
        <w:t>. En effet, l'espérance moyenne de vie à 35 ans est de7 ans supérieure chez les cadres et professions libérales comparée aux ouvriers</w:t>
      </w:r>
      <w:r w:rsidR="00882289">
        <w:rPr>
          <w:rFonts w:ascii="Times New Roman" w:hAnsi="Times New Roman" w:cs="Times New Roman"/>
          <w:sz w:val="24"/>
          <w:szCs w:val="24"/>
        </w:rPr>
        <w:t xml:space="preserve">. </w:t>
      </w:r>
      <w:r w:rsidR="00713FB8" w:rsidRPr="00713FB8">
        <w:rPr>
          <w:rFonts w:ascii="Times New Roman" w:hAnsi="Times New Roman" w:cs="Times New Roman"/>
          <w:sz w:val="24"/>
          <w:szCs w:val="24"/>
        </w:rPr>
        <w:t>Par conséquent, les politiques de prévention doivent cibler les couches les plus modestes de la population et nous verrons plus loin ce que l'on peut faire pour pallier cette différence de niveau d'éducation.</w:t>
      </w:r>
    </w:p>
    <w:p w:rsidR="00D81DF3" w:rsidRDefault="00D81DF3" w:rsidP="00D81DF3">
      <w:pPr>
        <w:pStyle w:val="Sansinterligne"/>
        <w:spacing w:line="480" w:lineRule="auto"/>
        <w:rPr>
          <w:rFonts w:ascii="Times New Roman" w:hAnsi="Times New Roman" w:cs="Times New Roman"/>
          <w:bCs/>
          <w:sz w:val="24"/>
          <w:szCs w:val="24"/>
        </w:rPr>
      </w:pPr>
      <w:r w:rsidRPr="00D81DF3">
        <w:rPr>
          <w:rFonts w:ascii="Times New Roman" w:hAnsi="Times New Roman" w:cs="Times New Roman"/>
          <w:bCs/>
          <w:sz w:val="24"/>
          <w:szCs w:val="24"/>
        </w:rPr>
        <w:t xml:space="preserve">Nous disposons de données précises sur l’état de santé des 50-59 ans grâce à </w:t>
      </w:r>
      <w:r w:rsidRPr="00D81DF3">
        <w:rPr>
          <w:rFonts w:ascii="Times New Roman" w:hAnsi="Times New Roman" w:cs="Times New Roman"/>
          <w:sz w:val="24"/>
          <w:szCs w:val="24"/>
        </w:rPr>
        <w:t>l’étude Européenne SHARE dans laquelle il est question, non pas de santé observée, mais de santé rapportée par les individus eux-mêmes</w:t>
      </w:r>
      <w:r w:rsidRPr="00D81DF3">
        <w:rPr>
          <w:rStyle w:val="Appeldenotedefin"/>
          <w:rFonts w:ascii="Times New Roman" w:hAnsi="Times New Roman" w:cs="Times New Roman"/>
          <w:bCs/>
          <w:sz w:val="24"/>
          <w:szCs w:val="24"/>
        </w:rPr>
        <w:endnoteReference w:id="5"/>
      </w:r>
      <w:r w:rsidRPr="00D81DF3">
        <w:rPr>
          <w:rFonts w:ascii="Times New Roman" w:hAnsi="Times New Roman" w:cs="Times New Roman"/>
          <w:bCs/>
          <w:sz w:val="24"/>
          <w:szCs w:val="24"/>
        </w:rPr>
        <w:t> : les seniors en emploi ont un meilleur état de santé que les inactifs ou les chômeurs.</w:t>
      </w:r>
      <w:r w:rsidRPr="00F879B1">
        <w:rPr>
          <w:rFonts w:ascii="Times New Roman" w:hAnsi="Times New Roman" w:cs="Times New Roman"/>
          <w:bCs/>
          <w:sz w:val="24"/>
          <w:szCs w:val="24"/>
        </w:rPr>
        <w:t xml:space="preserve"> En effet un certain nombre de critères communs à tous les pays européen ont été définis pour qualifier la santé qu’elle soit bonne ou  mauvaise. Parmi ceux-ci : une mauvaise santé perçue, une limitation d’activité, des symptômes physiques, une faible préhension et des symptômes dépressifs. (Tableau 1). De bonnes conditions de travail,  le niveau d’éducation, vivre en couple favorisent un bon état de santé des seniors en emploi. Etre migrant ou aidant influence négativement l’état de santé.</w:t>
      </w:r>
    </w:p>
    <w:p w:rsidR="00713FB8" w:rsidRPr="00D81DF3" w:rsidRDefault="00713FB8" w:rsidP="00D81DF3">
      <w:pPr>
        <w:pStyle w:val="Sansinterligne"/>
        <w:spacing w:line="480" w:lineRule="auto"/>
      </w:pPr>
    </w:p>
    <w:p w:rsidR="00D81DF3" w:rsidRPr="00F879B1" w:rsidRDefault="00D81DF3" w:rsidP="00D81DF3">
      <w:pPr>
        <w:autoSpaceDE w:val="0"/>
        <w:autoSpaceDN w:val="0"/>
        <w:adjustRightInd w:val="0"/>
        <w:spacing w:after="0" w:line="480" w:lineRule="auto"/>
        <w:jc w:val="both"/>
        <w:rPr>
          <w:rFonts w:ascii="Times New Roman" w:hAnsi="Times New Roman" w:cs="Times New Roman"/>
          <w:bCs/>
          <w:sz w:val="24"/>
          <w:szCs w:val="24"/>
        </w:rPr>
      </w:pPr>
      <w:r w:rsidRPr="00F879B1">
        <w:rPr>
          <w:rFonts w:ascii="Times New Roman" w:hAnsi="Times New Roman" w:cs="Times New Roman"/>
          <w:bCs/>
          <w:sz w:val="24"/>
          <w:szCs w:val="24"/>
        </w:rPr>
        <w:t>Tableau 1 :</w:t>
      </w:r>
      <w:r w:rsidRPr="00F879B1">
        <w:rPr>
          <w:rFonts w:ascii="Times New Roman" w:hAnsi="Times New Roman" w:cs="Times New Roman"/>
          <w:b/>
          <w:bCs/>
          <w:sz w:val="24"/>
          <w:szCs w:val="24"/>
        </w:rPr>
        <w:t xml:space="preserve"> </w:t>
      </w:r>
      <w:r w:rsidRPr="00F879B1">
        <w:rPr>
          <w:rFonts w:ascii="Times New Roman" w:hAnsi="Times New Roman" w:cs="Times New Roman"/>
          <w:bCs/>
          <w:sz w:val="24"/>
          <w:szCs w:val="24"/>
        </w:rPr>
        <w:t>Indicateurs d’état de santé des 50-59 ans selon le statut d’emploi (en %).</w:t>
      </w:r>
    </w:p>
    <w:tbl>
      <w:tblPr>
        <w:tblStyle w:val="Grilledutableau"/>
        <w:tblW w:w="0" w:type="auto"/>
        <w:shd w:val="pct10" w:color="auto" w:fill="auto"/>
        <w:tblLook w:val="04A0"/>
      </w:tblPr>
      <w:tblGrid>
        <w:gridCol w:w="2303"/>
        <w:gridCol w:w="2303"/>
        <w:gridCol w:w="2303"/>
        <w:gridCol w:w="2303"/>
      </w:tblGrid>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En emploi</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Autres*</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Total</w:t>
            </w:r>
          </w:p>
        </w:tc>
      </w:tr>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sz w:val="24"/>
                <w:szCs w:val="24"/>
              </w:rPr>
              <w:t>Mauvaise santé perçue</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17.8%</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32.0%</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22.9%</w:t>
            </w:r>
          </w:p>
        </w:tc>
      </w:tr>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sz w:val="24"/>
                <w:szCs w:val="24"/>
              </w:rPr>
              <w:t>Limitation d’activité</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20.9%</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39.4%</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27.4%</w:t>
            </w:r>
          </w:p>
        </w:tc>
      </w:tr>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sz w:val="24"/>
                <w:szCs w:val="24"/>
              </w:rPr>
              <w:t>Symptômes physiques</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37.4%</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44.3%</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39.8%</w:t>
            </w:r>
          </w:p>
        </w:tc>
      </w:tr>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sz w:val="24"/>
                <w:szCs w:val="24"/>
              </w:rPr>
              <w:t>Faible préhension</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19.4%</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21.0%</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19.9%</w:t>
            </w:r>
          </w:p>
        </w:tc>
      </w:tr>
      <w:tr w:rsidR="00D81DF3" w:rsidRPr="00D81DF3" w:rsidTr="00D81DF3">
        <w:trPr>
          <w:trHeight w:val="552"/>
        </w:trPr>
        <w:tc>
          <w:tcPr>
            <w:tcW w:w="2303" w:type="dxa"/>
            <w:shd w:val="pct10" w:color="auto" w:fill="auto"/>
          </w:tcPr>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sz w:val="24"/>
                <w:szCs w:val="24"/>
              </w:rPr>
              <w:t xml:space="preserve">Symptômes </w:t>
            </w:r>
            <w:proofErr w:type="spellStart"/>
            <w:r w:rsidRPr="00D81DF3">
              <w:rPr>
                <w:rFonts w:ascii="Times New Roman" w:hAnsi="Times New Roman" w:cs="Times New Roman"/>
                <w:sz w:val="24"/>
                <w:szCs w:val="24"/>
              </w:rPr>
              <w:t>dépressiffs</w:t>
            </w:r>
            <w:proofErr w:type="spellEnd"/>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26.5%</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37.4%</w:t>
            </w:r>
          </w:p>
        </w:tc>
        <w:tc>
          <w:tcPr>
            <w:tcW w:w="2303" w:type="dxa"/>
            <w:shd w:val="pct10" w:color="auto" w:fill="auto"/>
          </w:tcPr>
          <w:p w:rsidR="00D81DF3" w:rsidRPr="00D81DF3" w:rsidRDefault="00D81DF3" w:rsidP="003172B6">
            <w:pPr>
              <w:jc w:val="both"/>
              <w:rPr>
                <w:rFonts w:ascii="Times New Roman" w:hAnsi="Times New Roman" w:cs="Times New Roman"/>
                <w:sz w:val="24"/>
                <w:szCs w:val="24"/>
              </w:rPr>
            </w:pPr>
            <w:r w:rsidRPr="00D81DF3">
              <w:rPr>
                <w:rFonts w:ascii="Times New Roman" w:hAnsi="Times New Roman" w:cs="Times New Roman"/>
                <w:sz w:val="24"/>
                <w:szCs w:val="24"/>
              </w:rPr>
              <w:t>30.2%</w:t>
            </w:r>
          </w:p>
        </w:tc>
      </w:tr>
      <w:tr w:rsidR="00D81DF3" w:rsidRPr="00D81DF3" w:rsidTr="00D81DF3">
        <w:trPr>
          <w:trHeight w:val="552"/>
        </w:trPr>
        <w:tc>
          <w:tcPr>
            <w:tcW w:w="9212" w:type="dxa"/>
            <w:gridSpan w:val="4"/>
            <w:shd w:val="pct10" w:color="auto" w:fill="auto"/>
          </w:tcPr>
          <w:p w:rsidR="00D81DF3" w:rsidRPr="00D81DF3" w:rsidRDefault="00D81DF3" w:rsidP="00D81DF3">
            <w:pPr>
              <w:rPr>
                <w:rFonts w:ascii="Times New Roman" w:hAnsi="Times New Roman" w:cs="Times New Roman"/>
                <w:color w:val="000000"/>
                <w:sz w:val="24"/>
                <w:szCs w:val="24"/>
              </w:rPr>
            </w:pPr>
            <w:r w:rsidRPr="00D81DF3">
              <w:rPr>
                <w:rFonts w:ascii="Times New Roman" w:hAnsi="Times New Roman" w:cs="Times New Roman"/>
                <w:sz w:val="24"/>
                <w:szCs w:val="24"/>
              </w:rPr>
              <w:t>*</w:t>
            </w:r>
            <w:r w:rsidRPr="00D81DF3">
              <w:rPr>
                <w:rFonts w:ascii="Times New Roman" w:hAnsi="Times New Roman" w:cs="Times New Roman"/>
                <w:color w:val="000000"/>
                <w:sz w:val="24"/>
                <w:szCs w:val="24"/>
              </w:rPr>
              <w:t xml:space="preserve"> Autres : chômeurs, inactifs (dont retraités).</w:t>
            </w:r>
          </w:p>
          <w:p w:rsidR="00D81DF3" w:rsidRPr="00D81DF3" w:rsidRDefault="00D81DF3" w:rsidP="00D81DF3">
            <w:pPr>
              <w:rPr>
                <w:rFonts w:ascii="Times New Roman" w:hAnsi="Times New Roman" w:cs="Times New Roman"/>
                <w:sz w:val="24"/>
                <w:szCs w:val="24"/>
              </w:rPr>
            </w:pPr>
            <w:r w:rsidRPr="00D81DF3">
              <w:rPr>
                <w:rFonts w:ascii="Times New Roman" w:hAnsi="Times New Roman" w:cs="Times New Roman"/>
                <w:b/>
                <w:bCs/>
                <w:color w:val="B82841"/>
                <w:sz w:val="24"/>
                <w:szCs w:val="24"/>
              </w:rPr>
              <w:t xml:space="preserve">Source </w:t>
            </w:r>
            <w:r w:rsidRPr="00D81DF3">
              <w:rPr>
                <w:rFonts w:ascii="Times New Roman" w:hAnsi="Times New Roman" w:cs="Times New Roman"/>
                <w:color w:val="B82841"/>
                <w:sz w:val="24"/>
                <w:szCs w:val="24"/>
              </w:rPr>
              <w:t xml:space="preserve">: </w:t>
            </w:r>
            <w:proofErr w:type="spellStart"/>
            <w:r w:rsidRPr="00D81DF3">
              <w:rPr>
                <w:rFonts w:ascii="Times New Roman" w:hAnsi="Times New Roman" w:cs="Times New Roman"/>
                <w:color w:val="000000"/>
                <w:sz w:val="24"/>
                <w:szCs w:val="24"/>
              </w:rPr>
              <w:t>Irdes</w:t>
            </w:r>
            <w:proofErr w:type="spellEnd"/>
            <w:r w:rsidRPr="00D81DF3">
              <w:rPr>
                <w:rFonts w:ascii="Times New Roman" w:hAnsi="Times New Roman" w:cs="Times New Roman"/>
                <w:color w:val="000000"/>
                <w:sz w:val="24"/>
                <w:szCs w:val="24"/>
              </w:rPr>
              <w:t>, données enquête SHARE 20 06-2007 (vague 2). Effectifs pondérés.</w:t>
            </w:r>
          </w:p>
        </w:tc>
      </w:tr>
    </w:tbl>
    <w:p w:rsidR="00D81DF3" w:rsidRDefault="00D81DF3" w:rsidP="00D81DF3">
      <w:pPr>
        <w:spacing w:line="480" w:lineRule="auto"/>
        <w:jc w:val="both"/>
        <w:rPr>
          <w:rFonts w:ascii="Times New Roman" w:hAnsi="Times New Roman" w:cs="Times New Roman"/>
          <w:b/>
          <w:bCs/>
          <w:color w:val="B82841"/>
          <w:sz w:val="24"/>
          <w:szCs w:val="24"/>
        </w:rPr>
      </w:pPr>
    </w:p>
    <w:p w:rsidR="00713FB8" w:rsidRDefault="00713FB8" w:rsidP="00D81DF3">
      <w:pPr>
        <w:spacing w:line="480" w:lineRule="auto"/>
        <w:jc w:val="both"/>
        <w:rPr>
          <w:rFonts w:ascii="Times New Roman" w:hAnsi="Times New Roman" w:cs="Times New Roman"/>
          <w:b/>
          <w:bCs/>
          <w:color w:val="B82841"/>
          <w:sz w:val="24"/>
          <w:szCs w:val="24"/>
        </w:rPr>
      </w:pPr>
    </w:p>
    <w:p w:rsidR="00713FB8" w:rsidRDefault="00713FB8" w:rsidP="00D81DF3">
      <w:pPr>
        <w:spacing w:line="480" w:lineRule="auto"/>
        <w:jc w:val="both"/>
        <w:rPr>
          <w:rFonts w:ascii="Times New Roman" w:hAnsi="Times New Roman" w:cs="Times New Roman"/>
          <w:b/>
          <w:bCs/>
          <w:color w:val="B82841"/>
          <w:sz w:val="24"/>
          <w:szCs w:val="24"/>
        </w:rPr>
      </w:pPr>
    </w:p>
    <w:p w:rsidR="00D81DF3" w:rsidRPr="007C033D" w:rsidRDefault="00D81DF3" w:rsidP="00D81DF3">
      <w:pPr>
        <w:spacing w:line="480" w:lineRule="auto"/>
        <w:jc w:val="both"/>
        <w:rPr>
          <w:rFonts w:ascii="Times New Roman" w:hAnsi="Times New Roman" w:cs="Times New Roman"/>
          <w:b/>
          <w:sz w:val="24"/>
          <w:szCs w:val="24"/>
        </w:rPr>
      </w:pPr>
      <w:r w:rsidRPr="007C033D">
        <w:rPr>
          <w:rFonts w:ascii="Times New Roman" w:hAnsi="Times New Roman" w:cs="Times New Roman"/>
          <w:b/>
          <w:sz w:val="24"/>
          <w:szCs w:val="24"/>
        </w:rPr>
        <w:t>Le travail  est-il maléfique  pour la santé ?</w:t>
      </w:r>
    </w:p>
    <w:p w:rsidR="00490B44" w:rsidRDefault="00D81DF3" w:rsidP="00D81DF3">
      <w:pPr>
        <w:spacing w:line="480" w:lineRule="auto"/>
        <w:jc w:val="both"/>
        <w:rPr>
          <w:rFonts w:ascii="Times New Roman" w:hAnsi="Times New Roman" w:cs="Times New Roman"/>
          <w:bCs/>
          <w:sz w:val="24"/>
          <w:szCs w:val="24"/>
        </w:rPr>
      </w:pPr>
      <w:r w:rsidRPr="00F879B1">
        <w:rPr>
          <w:rFonts w:ascii="Times New Roman" w:hAnsi="Times New Roman" w:cs="Times New Roman"/>
          <w:bCs/>
          <w:sz w:val="24"/>
          <w:szCs w:val="24"/>
        </w:rPr>
        <w:t>L'enquête Surveillance médicale des expositions aux risques professionnels (Sumer 2010) dresse une cartographie des expositions des salariés aux principaux risques professionnels en France</w:t>
      </w:r>
      <w:r w:rsidRPr="00F879B1">
        <w:rPr>
          <w:rStyle w:val="Appeldenotedefin"/>
          <w:rFonts w:ascii="Times New Roman" w:hAnsi="Times New Roman" w:cs="Times New Roman"/>
          <w:bCs/>
          <w:sz w:val="24"/>
          <w:szCs w:val="24"/>
        </w:rPr>
        <w:endnoteReference w:id="6"/>
      </w:r>
      <w:r w:rsidRPr="00F879B1">
        <w:rPr>
          <w:rFonts w:ascii="Times New Roman" w:hAnsi="Times New Roman" w:cs="Times New Roman"/>
          <w:bCs/>
          <w:sz w:val="24"/>
          <w:szCs w:val="24"/>
        </w:rPr>
        <w:t xml:space="preserve">. (Tableau 2). </w:t>
      </w:r>
    </w:p>
    <w:p w:rsidR="00D81DF3" w:rsidRDefault="00D81DF3" w:rsidP="00D81DF3">
      <w:pPr>
        <w:spacing w:line="480" w:lineRule="auto"/>
        <w:jc w:val="both"/>
        <w:rPr>
          <w:rFonts w:ascii="Times New Roman" w:hAnsi="Times New Roman" w:cs="Times New Roman"/>
          <w:bCs/>
          <w:sz w:val="24"/>
          <w:szCs w:val="24"/>
        </w:rPr>
      </w:pPr>
      <w:r w:rsidRPr="00F879B1">
        <w:rPr>
          <w:rFonts w:ascii="Times New Roman" w:hAnsi="Times New Roman" w:cs="Times New Roman"/>
          <w:bCs/>
          <w:sz w:val="24"/>
          <w:szCs w:val="24"/>
        </w:rPr>
        <w:t>Tableau 2 : Principaux risque professionnels</w:t>
      </w:r>
      <w:r>
        <w:rPr>
          <w:rFonts w:ascii="Times New Roman" w:hAnsi="Times New Roman" w:cs="Times New Roman"/>
          <w:bCs/>
          <w:sz w:val="24"/>
          <w:szCs w:val="24"/>
        </w:rPr>
        <w:t> :</w:t>
      </w:r>
      <w:r w:rsidRPr="00F879B1">
        <w:rPr>
          <w:rFonts w:ascii="Times New Roman" w:hAnsi="Times New Roman" w:cs="Times New Roman"/>
          <w:bCs/>
          <w:sz w:val="24"/>
          <w:szCs w:val="24"/>
        </w:rPr>
        <w:t xml:space="preserve"> fréquence des réponses </w:t>
      </w:r>
      <w:r>
        <w:rPr>
          <w:rFonts w:ascii="Times New Roman" w:hAnsi="Times New Roman" w:cs="Times New Roman"/>
          <w:bCs/>
          <w:sz w:val="24"/>
          <w:szCs w:val="24"/>
        </w:rPr>
        <w:t>(</w:t>
      </w:r>
      <w:r w:rsidRPr="00F879B1">
        <w:rPr>
          <w:rFonts w:ascii="Times New Roman" w:hAnsi="Times New Roman" w:cs="Times New Roman"/>
          <w:bCs/>
          <w:sz w:val="24"/>
          <w:szCs w:val="24"/>
        </w:rPr>
        <w:t>enquête Sumer 2010</w:t>
      </w:r>
      <w:r>
        <w:rPr>
          <w:rFonts w:ascii="Times New Roman" w:hAnsi="Times New Roman" w:cs="Times New Roman"/>
          <w:bCs/>
          <w:sz w:val="24"/>
          <w:szCs w:val="24"/>
        </w:rPr>
        <w:t>)</w:t>
      </w:r>
    </w:p>
    <w:tbl>
      <w:tblPr>
        <w:tblStyle w:val="Grilledutableau"/>
        <w:tblW w:w="0" w:type="auto"/>
        <w:shd w:val="pct10" w:color="auto" w:fill="auto"/>
        <w:tblLook w:val="04A0"/>
      </w:tblPr>
      <w:tblGrid>
        <w:gridCol w:w="8188"/>
        <w:gridCol w:w="1024"/>
      </w:tblGrid>
      <w:tr w:rsidR="00D81DF3" w:rsidRPr="00D81DF3" w:rsidTr="003172B6">
        <w:tc>
          <w:tcPr>
            <w:tcW w:w="8188" w:type="dxa"/>
            <w:shd w:val="pct10" w:color="auto" w:fill="auto"/>
          </w:tcPr>
          <w:p w:rsidR="00D81DF3" w:rsidRPr="00D81DF3" w:rsidRDefault="00D81DF3" w:rsidP="003172B6">
            <w:pPr>
              <w:spacing w:line="480" w:lineRule="auto"/>
              <w:jc w:val="both"/>
              <w:rPr>
                <w:rFonts w:ascii="Times New Roman" w:hAnsi="Times New Roman" w:cs="Times New Roman"/>
                <w:bCs/>
                <w:sz w:val="24"/>
                <w:szCs w:val="24"/>
              </w:rPr>
            </w:pPr>
            <w:r w:rsidRPr="00D81DF3">
              <w:rPr>
                <w:rFonts w:ascii="Times New Roman" w:eastAsia="Times New Roman" w:hAnsi="Times New Roman" w:cs="Times New Roman"/>
                <w:bCs/>
                <w:color w:val="000000"/>
                <w:kern w:val="24"/>
                <w:sz w:val="24"/>
                <w:szCs w:val="24"/>
                <w:lang w:eastAsia="fr-FR"/>
              </w:rPr>
              <w:t>Être en contact direct avec le public (de vive voix ou par téléphone)</w:t>
            </w:r>
          </w:p>
        </w:tc>
        <w:tc>
          <w:tcPr>
            <w:tcW w:w="1024" w:type="dxa"/>
            <w:shd w:val="pct10" w:color="auto" w:fill="auto"/>
          </w:tcPr>
          <w:p w:rsidR="00D81DF3" w:rsidRPr="00D81DF3" w:rsidRDefault="00D81DF3" w:rsidP="003172B6">
            <w:pPr>
              <w:spacing w:line="480" w:lineRule="auto"/>
              <w:jc w:val="both"/>
              <w:rPr>
                <w:rFonts w:ascii="Times New Roman" w:hAnsi="Times New Roman" w:cs="Times New Roman"/>
                <w:bCs/>
                <w:sz w:val="24"/>
                <w:szCs w:val="24"/>
              </w:rPr>
            </w:pPr>
            <w:r w:rsidRPr="00D81DF3">
              <w:rPr>
                <w:rFonts w:ascii="Times New Roman" w:eastAsia="Times New Roman" w:hAnsi="Times New Roman" w:cs="Times New Roman"/>
                <w:bCs/>
                <w:color w:val="000000"/>
                <w:kern w:val="24"/>
                <w:sz w:val="24"/>
                <w:szCs w:val="24"/>
                <w:lang w:eastAsia="fr-FR"/>
              </w:rPr>
              <w:t>75,2%</w:t>
            </w:r>
          </w:p>
        </w:tc>
      </w:tr>
      <w:tr w:rsidR="00D81DF3" w:rsidRPr="00D81DF3" w:rsidTr="003172B6">
        <w:tc>
          <w:tcPr>
            <w:tcW w:w="8188" w:type="dxa"/>
            <w:shd w:val="pct10" w:color="auto" w:fill="auto"/>
            <w:vAlign w:val="center"/>
          </w:tcPr>
          <w:p w:rsidR="00D81DF3" w:rsidRPr="00D81DF3" w:rsidRDefault="00D81DF3" w:rsidP="003172B6">
            <w:pPr>
              <w:spacing w:line="480" w:lineRule="auto"/>
              <w:jc w:val="both"/>
              <w:textAlignment w:val="bottom"/>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Devoir fréquemment interrompre une tâche pour en faire une autre non prévue</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56,6%</w:t>
            </w:r>
          </w:p>
        </w:tc>
      </w:tr>
      <w:tr w:rsidR="00D81DF3" w:rsidRPr="00D81DF3" w:rsidTr="003172B6">
        <w:tc>
          <w:tcPr>
            <w:tcW w:w="8188" w:type="dxa"/>
            <w:shd w:val="pct10" w:color="auto" w:fill="auto"/>
            <w:vAlign w:val="bottom"/>
          </w:tcPr>
          <w:p w:rsidR="00D81DF3" w:rsidRPr="00D81DF3" w:rsidRDefault="00D81DF3" w:rsidP="003172B6">
            <w:pPr>
              <w:spacing w:line="480" w:lineRule="auto"/>
              <w:jc w:val="both"/>
              <w:textAlignment w:val="bottom"/>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 xml:space="preserve">Avoir un ou des entretien(s) individuel(s) d'évaluation par an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56,2 %</w:t>
            </w:r>
          </w:p>
        </w:tc>
      </w:tr>
      <w:tr w:rsidR="00D81DF3" w:rsidRPr="00D81DF3" w:rsidTr="003172B6">
        <w:tc>
          <w:tcPr>
            <w:tcW w:w="8188" w:type="dxa"/>
            <w:shd w:val="pct10" w:color="auto" w:fill="auto"/>
            <w:vAlign w:val="bottom"/>
          </w:tcPr>
          <w:p w:rsidR="00D81DF3" w:rsidRPr="00D81DF3" w:rsidRDefault="00D81DF3" w:rsidP="003172B6">
            <w:pPr>
              <w:spacing w:line="480" w:lineRule="auto"/>
              <w:jc w:val="both"/>
              <w:textAlignment w:val="bottom"/>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 xml:space="preserve">Suivre des procédures de qualité strictes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46,7 %</w:t>
            </w:r>
          </w:p>
        </w:tc>
      </w:tr>
      <w:tr w:rsidR="00D81DF3" w:rsidRPr="00D81DF3" w:rsidTr="003172B6">
        <w:tc>
          <w:tcPr>
            <w:tcW w:w="8188"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 xml:space="preserve">Au moins une contrainte physique intense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37,7%</w:t>
            </w:r>
          </w:p>
        </w:tc>
      </w:tr>
      <w:tr w:rsidR="00D81DF3" w:rsidRPr="00D81DF3" w:rsidTr="003172B6">
        <w:tc>
          <w:tcPr>
            <w:tcW w:w="8188" w:type="dxa"/>
            <w:shd w:val="pct10" w:color="auto" w:fill="auto"/>
            <w:vAlign w:val="bottom"/>
          </w:tcPr>
          <w:p w:rsidR="00D81DF3" w:rsidRPr="00D81DF3" w:rsidRDefault="00D81DF3" w:rsidP="003172B6">
            <w:pPr>
              <w:spacing w:line="480" w:lineRule="auto"/>
              <w:jc w:val="both"/>
              <w:textAlignment w:val="bottom"/>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 xml:space="preserve">Devoir atteindre des objectifs chiffrés précis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34,1 %</w:t>
            </w:r>
          </w:p>
        </w:tc>
      </w:tr>
      <w:tr w:rsidR="00D81DF3" w:rsidRPr="00D81DF3" w:rsidTr="003172B6">
        <w:tc>
          <w:tcPr>
            <w:tcW w:w="8188"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 xml:space="preserve">Être exposé à au moins un produit chimique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33,2%</w:t>
            </w:r>
          </w:p>
        </w:tc>
      </w:tr>
      <w:tr w:rsidR="00D81DF3" w:rsidRPr="00D81DF3" w:rsidTr="003172B6">
        <w:tc>
          <w:tcPr>
            <w:tcW w:w="8188"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Ne pas bénéficier d'un soutien</w:t>
            </w:r>
            <w:r w:rsidR="00B3788A">
              <w:rPr>
                <w:rFonts w:ascii="Times New Roman" w:eastAsia="Times New Roman" w:hAnsi="Times New Roman" w:cs="Times New Roman"/>
                <w:bCs/>
                <w:color w:val="000000"/>
                <w:kern w:val="24"/>
                <w:sz w:val="24"/>
                <w:szCs w:val="24"/>
                <w:lang w:eastAsia="fr-FR"/>
              </w:rPr>
              <w:t xml:space="preserve"> hiérarchique</w:t>
            </w:r>
            <w:r w:rsidRPr="00D81DF3">
              <w:rPr>
                <w:rFonts w:ascii="Times New Roman" w:eastAsia="Times New Roman" w:hAnsi="Times New Roman" w:cs="Times New Roman"/>
                <w:bCs/>
                <w:color w:val="000000"/>
                <w:kern w:val="24"/>
                <w:sz w:val="24"/>
                <w:szCs w:val="24"/>
                <w:lang w:eastAsia="fr-FR"/>
              </w:rPr>
              <w:t xml:space="preserve"> satisfaisant dans les situations difficiles </w:t>
            </w:r>
          </w:p>
        </w:tc>
        <w:tc>
          <w:tcPr>
            <w:tcW w:w="1024" w:type="dxa"/>
            <w:shd w:val="pct10" w:color="auto" w:fill="auto"/>
            <w:vAlign w:val="center"/>
          </w:tcPr>
          <w:p w:rsidR="00D81DF3" w:rsidRPr="00D81DF3" w:rsidRDefault="00D81DF3" w:rsidP="003172B6">
            <w:pPr>
              <w:spacing w:line="480" w:lineRule="auto"/>
              <w:jc w:val="both"/>
              <w:textAlignment w:val="center"/>
              <w:rPr>
                <w:rFonts w:ascii="Times New Roman" w:eastAsia="Times New Roman" w:hAnsi="Times New Roman" w:cs="Times New Roman"/>
                <w:sz w:val="24"/>
                <w:szCs w:val="24"/>
                <w:lang w:eastAsia="fr-FR"/>
              </w:rPr>
            </w:pPr>
            <w:r w:rsidRPr="00D81DF3">
              <w:rPr>
                <w:rFonts w:ascii="Times New Roman" w:eastAsia="Times New Roman" w:hAnsi="Times New Roman" w:cs="Times New Roman"/>
                <w:bCs/>
                <w:color w:val="000000"/>
                <w:kern w:val="24"/>
                <w:sz w:val="24"/>
                <w:szCs w:val="24"/>
                <w:lang w:eastAsia="fr-FR"/>
              </w:rPr>
              <w:t>29,2 %</w:t>
            </w:r>
          </w:p>
        </w:tc>
      </w:tr>
    </w:tbl>
    <w:p w:rsidR="00D81DF3" w:rsidRDefault="00D81DF3" w:rsidP="00D81DF3">
      <w:pPr>
        <w:spacing w:line="480" w:lineRule="auto"/>
        <w:jc w:val="both"/>
        <w:rPr>
          <w:rFonts w:ascii="Times New Roman" w:hAnsi="Times New Roman" w:cs="Times New Roman"/>
          <w:bCs/>
          <w:sz w:val="24"/>
          <w:szCs w:val="24"/>
        </w:rPr>
      </w:pPr>
    </w:p>
    <w:p w:rsidR="00733297" w:rsidRPr="00B3788A" w:rsidRDefault="00490B44" w:rsidP="00D81DF3">
      <w:pPr>
        <w:spacing w:line="480" w:lineRule="auto"/>
        <w:jc w:val="both"/>
        <w:rPr>
          <w:rFonts w:ascii="Times New Roman" w:hAnsi="Times New Roman" w:cs="Times New Roman"/>
          <w:bCs/>
          <w:sz w:val="24"/>
          <w:szCs w:val="24"/>
        </w:rPr>
      </w:pPr>
      <w:r w:rsidRPr="00F879B1">
        <w:rPr>
          <w:rFonts w:ascii="Times New Roman" w:hAnsi="Times New Roman" w:cs="Times New Roman"/>
          <w:bCs/>
          <w:sz w:val="24"/>
          <w:szCs w:val="24"/>
        </w:rPr>
        <w:t>D’une façon générale et sans surprise, on retrouve les contraintes horaires, les contraintes d'organisation du travail, les relations et le vécu au travail  et enfin les contraintes physiques.</w:t>
      </w:r>
      <w:r>
        <w:rPr>
          <w:rFonts w:ascii="Times New Roman" w:hAnsi="Times New Roman" w:cs="Times New Roman"/>
          <w:sz w:val="24"/>
          <w:szCs w:val="24"/>
        </w:rPr>
        <w:t xml:space="preserve"> </w:t>
      </w:r>
      <w:r w:rsidR="00B3788A">
        <w:rPr>
          <w:rFonts w:ascii="Times New Roman" w:hAnsi="Times New Roman" w:cs="Times New Roman"/>
          <w:sz w:val="24"/>
          <w:szCs w:val="24"/>
        </w:rPr>
        <w:t>Toutes ces contraintes altèrent le</w:t>
      </w:r>
      <w:r w:rsidRPr="00D50802">
        <w:rPr>
          <w:rFonts w:ascii="Times New Roman" w:hAnsi="Times New Roman" w:cs="Times New Roman"/>
          <w:sz w:val="24"/>
          <w:szCs w:val="24"/>
        </w:rPr>
        <w:t xml:space="preserve"> bien-être au travail</w:t>
      </w:r>
      <w:r w:rsidR="00B3788A">
        <w:rPr>
          <w:rFonts w:ascii="Times New Roman" w:hAnsi="Times New Roman" w:cs="Times New Roman"/>
          <w:sz w:val="24"/>
          <w:szCs w:val="24"/>
        </w:rPr>
        <w:t xml:space="preserve"> qui est pourtant</w:t>
      </w:r>
      <w:r w:rsidRPr="00D50802">
        <w:rPr>
          <w:rFonts w:ascii="Times New Roman" w:hAnsi="Times New Roman" w:cs="Times New Roman"/>
          <w:sz w:val="24"/>
          <w:szCs w:val="24"/>
        </w:rPr>
        <w:t xml:space="preserve"> le garant de la longévité en emploi </w:t>
      </w:r>
      <w:r w:rsidR="00D50802" w:rsidRPr="00D50802">
        <w:rPr>
          <w:rFonts w:ascii="Times New Roman" w:hAnsi="Times New Roman" w:cs="Times New Roman"/>
          <w:sz w:val="24"/>
          <w:szCs w:val="24"/>
        </w:rPr>
        <w:t xml:space="preserve"> en garantissant le respect et  l’épanouissement de l’individu :</w:t>
      </w:r>
      <w:r w:rsidRPr="00D50802">
        <w:rPr>
          <w:rFonts w:ascii="Times New Roman" w:hAnsi="Times New Roman" w:cs="Times New Roman"/>
          <w:sz w:val="24"/>
          <w:szCs w:val="24"/>
        </w:rPr>
        <w:t xml:space="preserve"> c’</w:t>
      </w:r>
      <w:r w:rsidRPr="00D50802">
        <w:rPr>
          <w:rFonts w:ascii="Times New Roman" w:hAnsi="Times New Roman" w:cs="Times New Roman"/>
          <w:bCs/>
          <w:sz w:val="24"/>
          <w:szCs w:val="24"/>
        </w:rPr>
        <w:t>est une responsabilité sociale majeure de l’entreprise</w:t>
      </w:r>
      <w:r w:rsidR="00D50802" w:rsidRPr="00D50802">
        <w:rPr>
          <w:rFonts w:ascii="Times New Roman" w:hAnsi="Times New Roman" w:cs="Times New Roman"/>
          <w:sz w:val="24"/>
          <w:szCs w:val="24"/>
        </w:rPr>
        <w:t>.</w:t>
      </w:r>
      <w:r w:rsidR="00733297">
        <w:rPr>
          <w:rFonts w:ascii="Times New Roman" w:hAnsi="Times New Roman" w:cs="Times New Roman"/>
          <w:sz w:val="24"/>
          <w:szCs w:val="24"/>
        </w:rPr>
        <w:t xml:space="preserve"> </w:t>
      </w:r>
      <w:r w:rsidRPr="00D50802">
        <w:rPr>
          <w:rFonts w:ascii="Times New Roman" w:hAnsi="Times New Roman" w:cs="Times New Roman"/>
          <w:sz w:val="24"/>
          <w:szCs w:val="24"/>
        </w:rPr>
        <w:t xml:space="preserve">Promouvoir le bien-être au travail, c’est d’abord lutter contre le stress dont la fréquence est impressionnante  touchant 28% des </w:t>
      </w:r>
      <w:r w:rsidR="00D50802" w:rsidRPr="00D50802">
        <w:rPr>
          <w:rFonts w:ascii="Times New Roman" w:hAnsi="Times New Roman" w:cs="Times New Roman"/>
          <w:sz w:val="24"/>
          <w:szCs w:val="24"/>
        </w:rPr>
        <w:t>travailleurs d’UE et</w:t>
      </w:r>
      <w:r w:rsidRPr="00D50802">
        <w:rPr>
          <w:rFonts w:ascii="Times New Roman" w:hAnsi="Times New Roman" w:cs="Times New Roman"/>
          <w:sz w:val="24"/>
          <w:szCs w:val="24"/>
        </w:rPr>
        <w:t xml:space="preserve"> 86 % de cadres</w:t>
      </w:r>
      <w:r w:rsidR="00D50802" w:rsidRPr="00D50802">
        <w:rPr>
          <w:rStyle w:val="Appeldenotedefin"/>
          <w:rFonts w:ascii="Times New Roman" w:hAnsi="Times New Roman" w:cs="Times New Roman"/>
          <w:sz w:val="24"/>
          <w:szCs w:val="24"/>
        </w:rPr>
        <w:endnoteReference w:id="7"/>
      </w:r>
      <w:r w:rsidR="00D50802" w:rsidRPr="00D50802">
        <w:rPr>
          <w:rFonts w:ascii="Times New Roman" w:hAnsi="Times New Roman" w:cs="Times New Roman"/>
          <w:sz w:val="24"/>
          <w:szCs w:val="24"/>
        </w:rPr>
        <w:t xml:space="preserve">. Les causes du stress sont en grande partie liées aux </w:t>
      </w:r>
      <w:r w:rsidR="00D50802" w:rsidRPr="00D50802">
        <w:rPr>
          <w:rFonts w:ascii="Times New Roman" w:hAnsi="Times New Roman" w:cs="Times New Roman"/>
          <w:sz w:val="24"/>
          <w:szCs w:val="24"/>
        </w:rPr>
        <w:lastRenderedPageBreak/>
        <w:t>conditions de travail et aux relations dans le travail</w:t>
      </w:r>
      <w:r w:rsidR="00D50802" w:rsidRPr="00D50802">
        <w:rPr>
          <w:rStyle w:val="Appeldenotedefin"/>
          <w:rFonts w:ascii="Times New Roman" w:hAnsi="Times New Roman" w:cs="Times New Roman"/>
          <w:sz w:val="24"/>
          <w:szCs w:val="24"/>
        </w:rPr>
        <w:endnoteReference w:id="8"/>
      </w:r>
      <w:r w:rsidR="00D50802" w:rsidRPr="00D50802">
        <w:rPr>
          <w:rFonts w:ascii="Times New Roman" w:hAnsi="Times New Roman" w:cs="Times New Roman"/>
          <w:sz w:val="24"/>
          <w:szCs w:val="24"/>
        </w:rPr>
        <w:t>.  Il est responsable de</w:t>
      </w:r>
      <w:r w:rsidRPr="00D50802">
        <w:rPr>
          <w:rFonts w:ascii="Times New Roman" w:hAnsi="Times New Roman" w:cs="Times New Roman"/>
          <w:sz w:val="24"/>
          <w:szCs w:val="24"/>
        </w:rPr>
        <w:t xml:space="preserve"> 50 à 60% des causes d’arrêt de travail. Ses conséquences sont considérables sur la santé physique: morbidité accrue, sur la santé  morale : dépression, suicides et sur la santé cognitive: risque accru de détérioration </w:t>
      </w:r>
      <w:r w:rsidR="00D50802" w:rsidRPr="00D50802">
        <w:rPr>
          <w:rFonts w:ascii="Times New Roman" w:hAnsi="Times New Roman" w:cs="Times New Roman"/>
          <w:sz w:val="24"/>
          <w:szCs w:val="24"/>
        </w:rPr>
        <w:t>de la mémoire ainsi qu’</w:t>
      </w:r>
      <w:r w:rsidRPr="00D50802">
        <w:rPr>
          <w:rFonts w:ascii="Times New Roman" w:hAnsi="Times New Roman" w:cs="Times New Roman"/>
          <w:sz w:val="24"/>
          <w:szCs w:val="24"/>
        </w:rPr>
        <w:t>une augmentation du risque de démence et de Maladie d’Alzheimer</w:t>
      </w:r>
      <w:r w:rsidR="00D50802" w:rsidRPr="00D50802">
        <w:rPr>
          <w:rStyle w:val="Appeldenotedefin"/>
          <w:rFonts w:ascii="Times New Roman" w:hAnsi="Times New Roman" w:cs="Times New Roman"/>
          <w:sz w:val="24"/>
          <w:szCs w:val="24"/>
        </w:rPr>
        <w:endnoteReference w:id="9"/>
      </w:r>
      <w:r w:rsidRPr="00D50802">
        <w:rPr>
          <w:rFonts w:ascii="Times New Roman" w:hAnsi="Times New Roman" w:cs="Times New Roman"/>
          <w:sz w:val="24"/>
          <w:szCs w:val="24"/>
        </w:rPr>
        <w:t>. Le stress représente de plus un coût colossal pour l’entreprise et l’individu</w:t>
      </w:r>
      <w:r w:rsidR="00D50802">
        <w:rPr>
          <w:rFonts w:ascii="Times New Roman" w:hAnsi="Times New Roman" w:cs="Times New Roman"/>
          <w:sz w:val="24"/>
          <w:szCs w:val="24"/>
        </w:rPr>
        <w:t xml:space="preserve"> : </w:t>
      </w:r>
      <w:r w:rsidRPr="00D50802">
        <w:rPr>
          <w:rFonts w:ascii="Times New Roman" w:hAnsi="Times New Roman" w:cs="Times New Roman"/>
          <w:sz w:val="24"/>
          <w:szCs w:val="24"/>
        </w:rPr>
        <w:t>51 milliards €  par an en France (BIT)</w:t>
      </w:r>
      <w:r w:rsidR="00733297">
        <w:rPr>
          <w:rFonts w:ascii="Times New Roman" w:hAnsi="Times New Roman" w:cs="Times New Roman"/>
          <w:sz w:val="24"/>
          <w:szCs w:val="24"/>
        </w:rPr>
        <w:t xml:space="preserve"> et </w:t>
      </w:r>
      <w:r w:rsidRPr="00D50802">
        <w:rPr>
          <w:rFonts w:ascii="Times New Roman" w:hAnsi="Times New Roman" w:cs="Times New Roman"/>
          <w:sz w:val="24"/>
          <w:szCs w:val="24"/>
        </w:rPr>
        <w:t>3 à 4% du PIB des pays développés (les Echos 2008)</w:t>
      </w:r>
      <w:r w:rsidR="00733297">
        <w:rPr>
          <w:rFonts w:ascii="Times New Roman" w:hAnsi="Times New Roman" w:cs="Times New Roman"/>
          <w:sz w:val="24"/>
          <w:szCs w:val="24"/>
        </w:rPr>
        <w:t xml:space="preserve">. </w:t>
      </w:r>
      <w:r w:rsidRPr="00733297">
        <w:rPr>
          <w:rFonts w:ascii="Times New Roman" w:hAnsi="Times New Roman" w:cs="Times New Roman"/>
          <w:sz w:val="24"/>
          <w:szCs w:val="24"/>
        </w:rPr>
        <w:t>Mais la conséquence la plus grave est la démotivation qui varie de 36% à 46%  selon les secteurs d’activités touchant spécialement l’encadrement et donc les seniors</w:t>
      </w:r>
      <w:r w:rsidR="00733297" w:rsidRPr="00733297">
        <w:rPr>
          <w:rStyle w:val="Appeldenotedefin"/>
          <w:rFonts w:ascii="Times New Roman" w:hAnsi="Times New Roman" w:cs="Times New Roman"/>
          <w:sz w:val="24"/>
          <w:szCs w:val="24"/>
        </w:rPr>
        <w:endnoteReference w:id="10"/>
      </w:r>
      <w:r w:rsidRPr="00733297">
        <w:rPr>
          <w:rFonts w:ascii="Times New Roman" w:hAnsi="Times New Roman" w:cs="Times New Roman"/>
          <w:sz w:val="24"/>
          <w:szCs w:val="24"/>
        </w:rPr>
        <w:t>.</w:t>
      </w:r>
    </w:p>
    <w:p w:rsidR="00D81DF3" w:rsidRDefault="00D81DF3" w:rsidP="00D81DF3">
      <w:pPr>
        <w:spacing w:line="480" w:lineRule="auto"/>
        <w:jc w:val="both"/>
        <w:rPr>
          <w:rFonts w:ascii="Times New Roman" w:hAnsi="Times New Roman" w:cs="Times New Roman"/>
          <w:b/>
          <w:bCs/>
          <w:sz w:val="24"/>
          <w:szCs w:val="24"/>
        </w:rPr>
      </w:pPr>
      <w:r w:rsidRPr="007C033D">
        <w:rPr>
          <w:rFonts w:ascii="Times New Roman" w:hAnsi="Times New Roman" w:cs="Times New Roman"/>
          <w:b/>
          <w:bCs/>
          <w:sz w:val="24"/>
          <w:szCs w:val="24"/>
        </w:rPr>
        <w:t>Le travail  est-il bénéfique pour la santé?</w:t>
      </w:r>
    </w:p>
    <w:p w:rsidR="00D81DF3" w:rsidRPr="00733297" w:rsidRDefault="00D81DF3" w:rsidP="00462265">
      <w:pPr>
        <w:spacing w:line="480" w:lineRule="auto"/>
        <w:jc w:val="both"/>
        <w:rPr>
          <w:rFonts w:ascii="Times New Roman" w:hAnsi="Times New Roman" w:cs="Times New Roman"/>
          <w:bCs/>
          <w:sz w:val="24"/>
          <w:szCs w:val="24"/>
        </w:rPr>
      </w:pPr>
      <w:r w:rsidRPr="0038344B">
        <w:rPr>
          <w:rFonts w:ascii="Times New Roman" w:hAnsi="Times New Roman" w:cs="Times New Roman"/>
          <w:bCs/>
          <w:sz w:val="24"/>
          <w:szCs w:val="24"/>
        </w:rPr>
        <w:t>L’inactivité augmente la morbidité. Toutes les formes d’activité réduisent la mortalité et donc augmentent l’espérance de vie en bonne santé que ce soit l’activité physique, professionnelle, l’activité de loisir ou l’engagement social.</w:t>
      </w:r>
      <w:r w:rsidRPr="0038344B">
        <w:rPr>
          <w:rFonts w:ascii="Times New Roman" w:hAnsi="Times New Roman" w:cs="Times New Roman"/>
          <w:bCs/>
          <w:iCs/>
          <w:sz w:val="24"/>
          <w:szCs w:val="24"/>
        </w:rPr>
        <w:t xml:space="preserve"> Une étude de l’Insee sur la période1991 à 1999 a montré qu’</w:t>
      </w:r>
      <w:r w:rsidRPr="0038344B">
        <w:rPr>
          <w:rFonts w:ascii="Times New Roman" w:hAnsi="Times New Roman" w:cs="Times New Roman"/>
          <w:bCs/>
          <w:sz w:val="24"/>
          <w:szCs w:val="24"/>
        </w:rPr>
        <w:t xml:space="preserve">entre 35 et 80 ans, les hommes inactifs ont eu une mortalité 2,7 fois plus élevée que l’ensemble </w:t>
      </w:r>
      <w:r>
        <w:rPr>
          <w:rFonts w:ascii="Times New Roman" w:hAnsi="Times New Roman" w:cs="Times New Roman"/>
          <w:bCs/>
          <w:sz w:val="24"/>
          <w:szCs w:val="24"/>
        </w:rPr>
        <w:t>de la population active. ILC France a conduit une étude</w:t>
      </w:r>
      <w:r w:rsidRPr="0083728A">
        <w:rPr>
          <w:rFonts w:ascii="Times New Roman" w:hAnsi="Times New Roman" w:cs="Times New Roman"/>
          <w:bCs/>
          <w:sz w:val="24"/>
          <w:szCs w:val="24"/>
        </w:rPr>
        <w:t xml:space="preserve"> pour savoir si la stimulation cognitive liée à une activité professionnelle plus longue, est favorable ou non à une entrée plus tardive dans la maladie d’Alzheimer</w:t>
      </w:r>
      <w:r w:rsidR="00A948C3">
        <w:rPr>
          <w:rStyle w:val="Appeldenotedefin"/>
          <w:rFonts w:ascii="Times New Roman" w:hAnsi="Times New Roman" w:cs="Times New Roman"/>
          <w:bCs/>
          <w:sz w:val="24"/>
          <w:szCs w:val="24"/>
        </w:rPr>
        <w:endnoteReference w:id="11"/>
      </w:r>
      <w:r>
        <w:rPr>
          <w:rFonts w:ascii="Times New Roman" w:hAnsi="Times New Roman" w:cs="Times New Roman"/>
          <w:bCs/>
          <w:sz w:val="24"/>
          <w:szCs w:val="24"/>
        </w:rPr>
        <w:t>.</w:t>
      </w:r>
      <w:r w:rsidRPr="0083728A">
        <w:rPr>
          <w:rFonts w:ascii="Times New Roman" w:hAnsi="Times New Roman" w:cs="Times New Roman"/>
          <w:bCs/>
          <w:sz w:val="24"/>
          <w:szCs w:val="24"/>
        </w:rPr>
        <w:t xml:space="preserve"> </w:t>
      </w:r>
      <w:r w:rsidRPr="00733297">
        <w:rPr>
          <w:rFonts w:ascii="Times New Roman" w:hAnsi="Times New Roman" w:cs="Times New Roman"/>
          <w:bCs/>
          <w:sz w:val="24"/>
          <w:szCs w:val="24"/>
        </w:rPr>
        <w:t xml:space="preserve">Parmi les 429 803 retraités inclus dans l’étude en décembre 2010, la prévalence de la démence était de 2,65%. Les travailleurs ont pris leur retraite en moyenne depuis plus de 12 ans. Les résultats montrent que chaque année supplémentaire de travail gagnée sur l'âge de la retraite diminue le risque de démence de 3%. </w:t>
      </w:r>
      <w:r w:rsidR="00B3788A">
        <w:rPr>
          <w:rFonts w:ascii="Times New Roman" w:hAnsi="Times New Roman" w:cs="Times New Roman"/>
          <w:bCs/>
          <w:sz w:val="24"/>
          <w:szCs w:val="24"/>
        </w:rPr>
        <w:t>Il faut p</w:t>
      </w:r>
      <w:r w:rsidR="00B3788A" w:rsidRPr="002C114D">
        <w:rPr>
          <w:rFonts w:ascii="Times New Roman" w:hAnsi="Times New Roman" w:cs="Times New Roman"/>
          <w:bCs/>
          <w:sz w:val="24"/>
          <w:szCs w:val="24"/>
        </w:rPr>
        <w:t>rendre en compte et anticiper le vieillissement au travail</w:t>
      </w:r>
      <w:r w:rsidR="00B3788A">
        <w:rPr>
          <w:rFonts w:ascii="Times New Roman" w:hAnsi="Times New Roman" w:cs="Times New Roman"/>
          <w:bCs/>
          <w:sz w:val="24"/>
          <w:szCs w:val="24"/>
        </w:rPr>
        <w:t xml:space="preserve"> en luttant contre les idées reçues.</w:t>
      </w:r>
      <w:r w:rsidR="00B3788A">
        <w:rPr>
          <w:rFonts w:ascii="Times New Roman" w:hAnsi="Times New Roman" w:cs="Times New Roman"/>
          <w:bCs/>
          <w:sz w:val="24"/>
          <w:szCs w:val="24"/>
        </w:rPr>
        <w:tab/>
        <w:t xml:space="preserve"> </w:t>
      </w:r>
      <w:r w:rsidR="00B3788A" w:rsidRPr="002C114D">
        <w:rPr>
          <w:rFonts w:ascii="Times New Roman" w:hAnsi="Times New Roman" w:cs="Times New Roman"/>
          <w:bCs/>
          <w:sz w:val="24"/>
          <w:szCs w:val="24"/>
        </w:rPr>
        <w:t>Le vieillissement du personnel est encore trop souvent perçu comme un handicap ou un facteur de perte de performance. Pourtant, à 60 ans, un salarié en bonne santé dispose encore de 80 % des potentialités dont il disposait à l’âge de 20 ans. Par ailleurs, l’expérience acquise lui permet de compenser certaines faiblesses par l’organisation et l’anticipation</w:t>
      </w:r>
      <w:r w:rsidR="00B3788A">
        <w:rPr>
          <w:rStyle w:val="Appeldenotedefin"/>
          <w:rFonts w:ascii="Times New Roman" w:hAnsi="Times New Roman" w:cs="Times New Roman"/>
          <w:bCs/>
          <w:sz w:val="24"/>
          <w:szCs w:val="24"/>
        </w:rPr>
        <w:endnoteReference w:id="12"/>
      </w:r>
      <w:r w:rsidR="00B3788A" w:rsidRPr="002C114D">
        <w:rPr>
          <w:rFonts w:ascii="Times New Roman" w:hAnsi="Times New Roman" w:cs="Times New Roman"/>
          <w:bCs/>
          <w:sz w:val="24"/>
          <w:szCs w:val="24"/>
        </w:rPr>
        <w:t xml:space="preserve">. Ce n’est pas le vieillissement en soi mais un environnement professionnel inadapté qui met en </w:t>
      </w:r>
      <w:r w:rsidR="00B3788A" w:rsidRPr="002C114D">
        <w:rPr>
          <w:rFonts w:ascii="Times New Roman" w:hAnsi="Times New Roman" w:cs="Times New Roman"/>
          <w:bCs/>
          <w:sz w:val="24"/>
          <w:szCs w:val="24"/>
        </w:rPr>
        <w:lastRenderedPageBreak/>
        <w:t>difficulté le salarié vieillissant.</w:t>
      </w:r>
      <w:r w:rsidR="00B3788A">
        <w:rPr>
          <w:rFonts w:ascii="Times New Roman" w:hAnsi="Times New Roman" w:cs="Times New Roman"/>
          <w:bCs/>
          <w:sz w:val="24"/>
          <w:szCs w:val="24"/>
        </w:rPr>
        <w:t xml:space="preserve"> En effet on a mesuré que l</w:t>
      </w:r>
      <w:r w:rsidR="00B3788A" w:rsidRPr="002C114D">
        <w:rPr>
          <w:rFonts w:ascii="Times New Roman" w:hAnsi="Times New Roman" w:cs="Times New Roman"/>
          <w:bCs/>
          <w:sz w:val="24"/>
          <w:szCs w:val="24"/>
        </w:rPr>
        <w:t>a force musculaire déc</w:t>
      </w:r>
      <w:r w:rsidR="00B3788A">
        <w:rPr>
          <w:rFonts w:ascii="Times New Roman" w:hAnsi="Times New Roman" w:cs="Times New Roman"/>
          <w:bCs/>
          <w:sz w:val="24"/>
          <w:szCs w:val="24"/>
        </w:rPr>
        <w:t>roît de 25 % entre 40 et 65 ans, que l</w:t>
      </w:r>
      <w:r w:rsidR="00B3788A" w:rsidRPr="002C114D">
        <w:rPr>
          <w:rFonts w:ascii="Times New Roman" w:hAnsi="Times New Roman" w:cs="Times New Roman"/>
          <w:bCs/>
          <w:sz w:val="24"/>
          <w:szCs w:val="24"/>
        </w:rPr>
        <w:t>es capacités pulmonaires baissent dès 35-40 ans</w:t>
      </w:r>
      <w:r w:rsidR="00B3788A">
        <w:rPr>
          <w:rFonts w:ascii="Times New Roman" w:hAnsi="Times New Roman" w:cs="Times New Roman"/>
          <w:bCs/>
          <w:sz w:val="24"/>
          <w:szCs w:val="24"/>
        </w:rPr>
        <w:t>, que l</w:t>
      </w:r>
      <w:r w:rsidR="00B3788A" w:rsidRPr="002C114D">
        <w:rPr>
          <w:rFonts w:ascii="Times New Roman" w:hAnsi="Times New Roman" w:cs="Times New Roman"/>
          <w:bCs/>
          <w:sz w:val="24"/>
          <w:szCs w:val="24"/>
        </w:rPr>
        <w:t xml:space="preserve">e besoin de lumière mais aussi l’éblouissement visuel augmentent, </w:t>
      </w:r>
      <w:r w:rsidR="00B3788A">
        <w:rPr>
          <w:rFonts w:ascii="Times New Roman" w:hAnsi="Times New Roman" w:cs="Times New Roman"/>
          <w:bCs/>
          <w:sz w:val="24"/>
          <w:szCs w:val="24"/>
        </w:rPr>
        <w:t xml:space="preserve">que </w:t>
      </w:r>
      <w:r w:rsidR="00B3788A" w:rsidRPr="002C114D">
        <w:rPr>
          <w:rFonts w:ascii="Times New Roman" w:hAnsi="Times New Roman" w:cs="Times New Roman"/>
          <w:bCs/>
          <w:sz w:val="24"/>
          <w:szCs w:val="24"/>
        </w:rPr>
        <w:t>l’audition décroît</w:t>
      </w:r>
      <w:r w:rsidR="00B3788A">
        <w:rPr>
          <w:rFonts w:ascii="Times New Roman" w:hAnsi="Times New Roman" w:cs="Times New Roman"/>
          <w:bCs/>
          <w:sz w:val="24"/>
          <w:szCs w:val="24"/>
        </w:rPr>
        <w:t xml:space="preserve"> </w:t>
      </w:r>
      <w:r w:rsidR="00B3788A" w:rsidRPr="002C114D">
        <w:rPr>
          <w:rFonts w:ascii="Times New Roman" w:hAnsi="Times New Roman" w:cs="Times New Roman"/>
          <w:bCs/>
          <w:sz w:val="24"/>
          <w:szCs w:val="24"/>
        </w:rPr>
        <w:t>après 45-50 ans</w:t>
      </w:r>
      <w:r w:rsidR="00B3788A">
        <w:rPr>
          <w:rFonts w:ascii="Times New Roman" w:hAnsi="Times New Roman" w:cs="Times New Roman"/>
          <w:bCs/>
          <w:sz w:val="24"/>
          <w:szCs w:val="24"/>
        </w:rPr>
        <w:t xml:space="preserve"> que l</w:t>
      </w:r>
      <w:r w:rsidR="00B3788A" w:rsidRPr="002C114D">
        <w:rPr>
          <w:rFonts w:ascii="Times New Roman" w:hAnsi="Times New Roman" w:cs="Times New Roman"/>
          <w:bCs/>
          <w:sz w:val="24"/>
          <w:szCs w:val="24"/>
        </w:rPr>
        <w:t>es chutes liées à un trouble de l’équilibre augmentent après 45 ans</w:t>
      </w:r>
      <w:r w:rsidR="00B3788A">
        <w:rPr>
          <w:rFonts w:ascii="Times New Roman" w:hAnsi="Times New Roman" w:cs="Times New Roman"/>
          <w:bCs/>
          <w:sz w:val="24"/>
          <w:szCs w:val="24"/>
        </w:rPr>
        <w:t>, que l</w:t>
      </w:r>
      <w:r w:rsidR="00B3788A" w:rsidRPr="002C114D">
        <w:rPr>
          <w:rFonts w:ascii="Times New Roman" w:hAnsi="Times New Roman" w:cs="Times New Roman"/>
          <w:bCs/>
          <w:sz w:val="24"/>
          <w:szCs w:val="24"/>
        </w:rPr>
        <w:t>a mémoire à court terme se dégrade et</w:t>
      </w:r>
      <w:r w:rsidR="00B3788A">
        <w:rPr>
          <w:rFonts w:ascii="Times New Roman" w:hAnsi="Times New Roman" w:cs="Times New Roman"/>
          <w:bCs/>
          <w:sz w:val="24"/>
          <w:szCs w:val="24"/>
        </w:rPr>
        <w:t xml:space="preserve"> que</w:t>
      </w:r>
      <w:r w:rsidR="00B3788A" w:rsidRPr="002C114D">
        <w:rPr>
          <w:rFonts w:ascii="Times New Roman" w:hAnsi="Times New Roman" w:cs="Times New Roman"/>
          <w:bCs/>
          <w:sz w:val="24"/>
          <w:szCs w:val="24"/>
        </w:rPr>
        <w:t xml:space="preserve"> le fait de partager son attention entre plusieurs sujets devient complexe</w:t>
      </w:r>
      <w:r w:rsidR="00B3788A" w:rsidRPr="007C033D">
        <w:rPr>
          <w:rFonts w:ascii="Times New Roman" w:hAnsi="Times New Roman" w:cs="Times New Roman"/>
          <w:bCs/>
          <w:sz w:val="24"/>
          <w:szCs w:val="24"/>
        </w:rPr>
        <w:t xml:space="preserve"> </w:t>
      </w:r>
      <w:r w:rsidR="00B3788A" w:rsidRPr="002C114D">
        <w:rPr>
          <w:rFonts w:ascii="Times New Roman" w:hAnsi="Times New Roman" w:cs="Times New Roman"/>
          <w:bCs/>
          <w:sz w:val="24"/>
          <w:szCs w:val="24"/>
        </w:rPr>
        <w:t>à partir de 50 ans.</w:t>
      </w:r>
      <w:r w:rsidR="00B3788A">
        <w:rPr>
          <w:rFonts w:ascii="Times New Roman" w:hAnsi="Times New Roman" w:cs="Times New Roman"/>
          <w:bCs/>
          <w:sz w:val="24"/>
          <w:szCs w:val="24"/>
        </w:rPr>
        <w:t xml:space="preserve"> Par contre : </w:t>
      </w:r>
      <w:r w:rsidR="00B3788A" w:rsidRPr="007C033D">
        <w:rPr>
          <w:rFonts w:ascii="Times New Roman" w:hAnsi="Times New Roman" w:cs="Times New Roman"/>
          <w:bCs/>
          <w:sz w:val="24"/>
          <w:szCs w:val="24"/>
        </w:rPr>
        <w:t>L’endurance s’améliore quand l’effort est mod</w:t>
      </w:r>
      <w:r w:rsidR="00B3788A">
        <w:rPr>
          <w:rFonts w:ascii="Times New Roman" w:hAnsi="Times New Roman" w:cs="Times New Roman"/>
          <w:bCs/>
          <w:sz w:val="24"/>
          <w:szCs w:val="24"/>
        </w:rPr>
        <w:t>éré, l</w:t>
      </w:r>
      <w:r w:rsidR="00B3788A" w:rsidRPr="002C114D">
        <w:rPr>
          <w:rFonts w:ascii="Times New Roman" w:hAnsi="Times New Roman" w:cs="Times New Roman"/>
          <w:bCs/>
          <w:sz w:val="24"/>
          <w:szCs w:val="24"/>
        </w:rPr>
        <w:t>es capacités d’apprentissage sont conservées si elles sont fréquemment entraînées et si les modalités d</w:t>
      </w:r>
      <w:r w:rsidR="00B3788A">
        <w:rPr>
          <w:rFonts w:ascii="Times New Roman" w:hAnsi="Times New Roman" w:cs="Times New Roman"/>
          <w:bCs/>
          <w:sz w:val="24"/>
          <w:szCs w:val="24"/>
        </w:rPr>
        <w:t>e l’apprentissage sont adaptées et l</w:t>
      </w:r>
      <w:r w:rsidR="00B3788A" w:rsidRPr="002C114D">
        <w:rPr>
          <w:rFonts w:ascii="Times New Roman" w:hAnsi="Times New Roman" w:cs="Times New Roman"/>
          <w:bCs/>
          <w:sz w:val="24"/>
          <w:szCs w:val="24"/>
        </w:rPr>
        <w:t>es capacités de synthèse, d’anticipation et d’organisation progressent.</w:t>
      </w:r>
      <w:r w:rsidR="00B3788A" w:rsidRPr="007C033D">
        <w:rPr>
          <w:rFonts w:ascii="Calibri" w:eastAsia="+mn-ea" w:hAnsi="Calibri" w:cs="+mn-cs"/>
          <w:color w:val="000000"/>
          <w:kern w:val="24"/>
          <w:sz w:val="54"/>
          <w:szCs w:val="54"/>
        </w:rPr>
        <w:t xml:space="preserve"> </w:t>
      </w:r>
      <w:r w:rsidR="00B3788A" w:rsidRPr="007C033D">
        <w:rPr>
          <w:rFonts w:ascii="Times New Roman" w:hAnsi="Times New Roman" w:cs="Times New Roman"/>
          <w:bCs/>
          <w:sz w:val="24"/>
          <w:szCs w:val="24"/>
        </w:rPr>
        <w:t xml:space="preserve">En France, </w:t>
      </w:r>
      <w:r w:rsidR="00B3788A">
        <w:rPr>
          <w:rFonts w:ascii="Times New Roman" w:hAnsi="Times New Roman" w:cs="Times New Roman"/>
          <w:bCs/>
          <w:sz w:val="24"/>
          <w:szCs w:val="24"/>
        </w:rPr>
        <w:t>la</w:t>
      </w:r>
      <w:r w:rsidR="00B3788A" w:rsidRPr="007C033D">
        <w:rPr>
          <w:rFonts w:ascii="Times New Roman" w:hAnsi="Times New Roman" w:cs="Times New Roman"/>
          <w:bCs/>
          <w:sz w:val="24"/>
          <w:szCs w:val="24"/>
        </w:rPr>
        <w:t xml:space="preserve"> volonté</w:t>
      </w:r>
      <w:r w:rsidR="00B3788A">
        <w:rPr>
          <w:rFonts w:ascii="Times New Roman" w:hAnsi="Times New Roman" w:cs="Times New Roman"/>
          <w:bCs/>
          <w:sz w:val="24"/>
          <w:szCs w:val="24"/>
        </w:rPr>
        <w:t xml:space="preserve"> de prendre en compte le travailleur vieillissant</w:t>
      </w:r>
      <w:r w:rsidR="00B3788A" w:rsidRPr="007C033D">
        <w:rPr>
          <w:rFonts w:ascii="Times New Roman" w:hAnsi="Times New Roman" w:cs="Times New Roman"/>
          <w:bCs/>
          <w:sz w:val="24"/>
          <w:szCs w:val="24"/>
        </w:rPr>
        <w:t xml:space="preserve"> s’est traduite par l’adoption d’une loi obligeant toutes les entreprises de plus de 50 salariés à établir un plan d’action relatif à l’emploi des 55-64 ans.</w:t>
      </w:r>
      <w:r w:rsidR="00B3788A">
        <w:rPr>
          <w:rFonts w:ascii="Times New Roman" w:hAnsi="Times New Roman" w:cs="Times New Roman"/>
          <w:bCs/>
          <w:sz w:val="24"/>
          <w:szCs w:val="24"/>
        </w:rPr>
        <w:t xml:space="preserve"> </w:t>
      </w:r>
    </w:p>
    <w:p w:rsidR="002E7DF5" w:rsidRPr="00067B8B" w:rsidRDefault="00220F35" w:rsidP="00067B8B">
      <w:pPr>
        <w:pStyle w:val="Sansinterligne"/>
        <w:spacing w:line="480" w:lineRule="auto"/>
        <w:rPr>
          <w:rFonts w:ascii="Times New Roman" w:hAnsi="Times New Roman" w:cs="Times New Roman"/>
          <w:sz w:val="24"/>
          <w:szCs w:val="24"/>
        </w:rPr>
      </w:pPr>
      <w:r w:rsidRPr="00067B8B">
        <w:rPr>
          <w:rFonts w:ascii="Times New Roman" w:hAnsi="Times New Roman" w:cs="Times New Roman"/>
          <w:b/>
          <w:sz w:val="24"/>
          <w:szCs w:val="24"/>
        </w:rPr>
        <w:t>La prévention</w:t>
      </w:r>
      <w:r w:rsidRPr="00067B8B">
        <w:rPr>
          <w:rFonts w:ascii="Times New Roman" w:hAnsi="Times New Roman" w:cs="Times New Roman"/>
          <w:sz w:val="24"/>
          <w:szCs w:val="24"/>
        </w:rPr>
        <w:t xml:space="preserve"> </w:t>
      </w:r>
    </w:p>
    <w:p w:rsidR="00A75F8B" w:rsidRPr="005E50A4" w:rsidRDefault="00067B8B" w:rsidP="00067B8B">
      <w:pPr>
        <w:pStyle w:val="Sansinterligne"/>
        <w:spacing w:line="480" w:lineRule="auto"/>
        <w:jc w:val="both"/>
        <w:rPr>
          <w:rFonts w:ascii="Times New Roman" w:hAnsi="Times New Roman" w:cs="Times New Roman"/>
          <w:sz w:val="24"/>
          <w:szCs w:val="24"/>
        </w:rPr>
      </w:pPr>
      <w:r w:rsidRPr="00067B8B">
        <w:rPr>
          <w:rFonts w:ascii="Times New Roman" w:hAnsi="Times New Roman" w:cs="Times New Roman"/>
          <w:sz w:val="24"/>
          <w:szCs w:val="24"/>
        </w:rPr>
        <w:t xml:space="preserve">Accroître l’espérance de vie professionnelle et en bonne santé </w:t>
      </w:r>
      <w:r w:rsidR="00220F35" w:rsidRPr="00067B8B">
        <w:rPr>
          <w:rFonts w:ascii="Times New Roman" w:hAnsi="Times New Roman" w:cs="Times New Roman"/>
          <w:sz w:val="24"/>
          <w:szCs w:val="24"/>
        </w:rPr>
        <w:t>est l’affaire de toute une vie commencée dès le plus jeune âge. Mais l’adhésion au principe de prévention dépend du niveau d'éducation.</w:t>
      </w:r>
      <w:r w:rsidRPr="00067B8B">
        <w:rPr>
          <w:rFonts w:ascii="Times New Roman" w:hAnsi="Times New Roman" w:cs="Times New Roman"/>
          <w:sz w:val="24"/>
          <w:szCs w:val="24"/>
        </w:rPr>
        <w:t xml:space="preserve"> </w:t>
      </w:r>
      <w:r w:rsidR="00220F35" w:rsidRPr="00067B8B">
        <w:rPr>
          <w:rFonts w:ascii="Times New Roman" w:hAnsi="Times New Roman" w:cs="Times New Roman"/>
          <w:sz w:val="24"/>
          <w:szCs w:val="24"/>
        </w:rPr>
        <w:t xml:space="preserve">Comment faut-il faire pour augmenter le niveau d'éducation des personnes qui sont </w:t>
      </w:r>
      <w:r w:rsidRPr="00067B8B">
        <w:rPr>
          <w:rFonts w:ascii="Times New Roman" w:hAnsi="Times New Roman" w:cs="Times New Roman"/>
          <w:sz w:val="24"/>
          <w:szCs w:val="24"/>
        </w:rPr>
        <w:t>à risque</w:t>
      </w:r>
      <w:r w:rsidR="00220F35" w:rsidRPr="00067B8B">
        <w:rPr>
          <w:rFonts w:ascii="Times New Roman" w:hAnsi="Times New Roman" w:cs="Times New Roman"/>
          <w:sz w:val="24"/>
          <w:szCs w:val="24"/>
        </w:rPr>
        <w:t xml:space="preserve">? </w:t>
      </w:r>
      <w:r w:rsidRPr="00067B8B">
        <w:rPr>
          <w:rFonts w:ascii="Times New Roman" w:hAnsi="Times New Roman" w:cs="Times New Roman"/>
          <w:sz w:val="24"/>
          <w:szCs w:val="24"/>
        </w:rPr>
        <w:t>L’un des</w:t>
      </w:r>
      <w:r w:rsidR="00220F35" w:rsidRPr="00067B8B">
        <w:rPr>
          <w:rFonts w:ascii="Times New Roman" w:hAnsi="Times New Roman" w:cs="Times New Roman"/>
          <w:sz w:val="24"/>
          <w:szCs w:val="24"/>
        </w:rPr>
        <w:t xml:space="preserve"> moyen</w:t>
      </w:r>
      <w:r w:rsidRPr="00067B8B">
        <w:rPr>
          <w:rFonts w:ascii="Times New Roman" w:hAnsi="Times New Roman" w:cs="Times New Roman"/>
          <w:sz w:val="24"/>
          <w:szCs w:val="24"/>
        </w:rPr>
        <w:t>s</w:t>
      </w:r>
      <w:r w:rsidR="00220F35" w:rsidRPr="00067B8B">
        <w:rPr>
          <w:rFonts w:ascii="Times New Roman" w:hAnsi="Times New Roman" w:cs="Times New Roman"/>
          <w:sz w:val="24"/>
          <w:szCs w:val="24"/>
        </w:rPr>
        <w:t xml:space="preserve"> d’éviter les inégalités de santé est de proposer des programmes de prévention dans l'entreprise sur le temps de travail. ILC France a mené une étude appelée EBS (Entreprises en bonne santé)</w:t>
      </w:r>
      <w:r w:rsidR="00A948C3" w:rsidRPr="00067B8B">
        <w:rPr>
          <w:rStyle w:val="Appeldenotedefin"/>
          <w:rFonts w:ascii="Times New Roman" w:hAnsi="Times New Roman" w:cs="Times New Roman"/>
          <w:sz w:val="24"/>
          <w:szCs w:val="24"/>
        </w:rPr>
        <w:endnoteReference w:id="13"/>
      </w:r>
      <w:r w:rsidR="00220F35" w:rsidRPr="00067B8B">
        <w:rPr>
          <w:rFonts w:ascii="Times New Roman" w:hAnsi="Times New Roman" w:cs="Times New Roman"/>
          <w:sz w:val="24"/>
          <w:szCs w:val="24"/>
        </w:rPr>
        <w:t>. Elle vise à démontrer aux employeurs et aux pouvoirs publics qu'un programme de prévention de la santé (nutrition, activité physique et prévention du mal de dos) effectué en entreprise sur le temps de travail et payé par l'entreprise peut accroître la culture sanitaire, c’est-à-dire rétablir les niveaux d'éducation</w:t>
      </w:r>
      <w:r w:rsidRPr="00067B8B">
        <w:rPr>
          <w:rFonts w:ascii="Times New Roman" w:hAnsi="Times New Roman" w:cs="Times New Roman"/>
          <w:sz w:val="24"/>
          <w:szCs w:val="24"/>
        </w:rPr>
        <w:t xml:space="preserve">, </w:t>
      </w:r>
      <w:r w:rsidR="00220F35" w:rsidRPr="00067B8B">
        <w:rPr>
          <w:rFonts w:ascii="Times New Roman" w:hAnsi="Times New Roman" w:cs="Times New Roman"/>
          <w:sz w:val="24"/>
          <w:szCs w:val="24"/>
        </w:rPr>
        <w:t>changer les comportements</w:t>
      </w:r>
      <w:r w:rsidRPr="00067B8B">
        <w:rPr>
          <w:rFonts w:ascii="Times New Roman" w:hAnsi="Times New Roman" w:cs="Times New Roman"/>
          <w:sz w:val="24"/>
          <w:szCs w:val="24"/>
        </w:rPr>
        <w:t xml:space="preserve">, </w:t>
      </w:r>
      <w:r w:rsidR="00220F35" w:rsidRPr="00067B8B">
        <w:rPr>
          <w:rFonts w:ascii="Times New Roman" w:hAnsi="Times New Roman" w:cs="Times New Roman"/>
          <w:sz w:val="24"/>
          <w:szCs w:val="24"/>
        </w:rPr>
        <w:t xml:space="preserve">améliorer le bien-être et l'efficacité du personnel en entreprise </w:t>
      </w:r>
      <w:r w:rsidRPr="00067B8B">
        <w:rPr>
          <w:rFonts w:ascii="Times New Roman" w:hAnsi="Times New Roman" w:cs="Times New Roman"/>
          <w:sz w:val="24"/>
          <w:szCs w:val="24"/>
        </w:rPr>
        <w:t xml:space="preserve">et </w:t>
      </w:r>
      <w:r w:rsidR="00220F35" w:rsidRPr="00067B8B">
        <w:rPr>
          <w:rFonts w:ascii="Times New Roman" w:hAnsi="Times New Roman" w:cs="Times New Roman"/>
          <w:sz w:val="24"/>
          <w:szCs w:val="24"/>
        </w:rPr>
        <w:t xml:space="preserve">enfin, </w:t>
      </w:r>
      <w:r w:rsidR="00220F35" w:rsidRPr="00067B8B">
        <w:rPr>
          <w:rFonts w:ascii="Times New Roman" w:hAnsi="Times New Roman" w:cs="Times New Roman"/>
          <w:bCs/>
          <w:sz w:val="24"/>
          <w:szCs w:val="24"/>
        </w:rPr>
        <w:t>changer l’image de l’entreprise</w:t>
      </w:r>
      <w:r w:rsidR="00220F35" w:rsidRPr="00067B8B">
        <w:rPr>
          <w:rFonts w:ascii="Times New Roman" w:hAnsi="Times New Roman" w:cs="Times New Roman"/>
          <w:sz w:val="24"/>
          <w:szCs w:val="24"/>
        </w:rPr>
        <w:t xml:space="preserve"> pour ses collaborateurs</w:t>
      </w:r>
      <w:r w:rsidRPr="00067B8B">
        <w:rPr>
          <w:rFonts w:ascii="Times New Roman" w:hAnsi="Times New Roman" w:cs="Times New Roman"/>
          <w:sz w:val="24"/>
          <w:szCs w:val="24"/>
        </w:rPr>
        <w:t xml:space="preserve">. </w:t>
      </w:r>
      <w:r w:rsidR="00220F35" w:rsidRPr="00067B8B">
        <w:rPr>
          <w:rFonts w:ascii="Times New Roman" w:hAnsi="Times New Roman" w:cs="Times New Roman"/>
          <w:sz w:val="24"/>
          <w:szCs w:val="24"/>
        </w:rPr>
        <w:t xml:space="preserve">Les résultats sont positifs dans les </w:t>
      </w:r>
      <w:r w:rsidRPr="00067B8B">
        <w:rPr>
          <w:rFonts w:ascii="Times New Roman" w:hAnsi="Times New Roman" w:cs="Times New Roman"/>
          <w:sz w:val="24"/>
          <w:szCs w:val="24"/>
        </w:rPr>
        <w:t xml:space="preserve">3 </w:t>
      </w:r>
      <w:r w:rsidR="00220F35" w:rsidRPr="00067B8B">
        <w:rPr>
          <w:rFonts w:ascii="Times New Roman" w:hAnsi="Times New Roman" w:cs="Times New Roman"/>
          <w:sz w:val="24"/>
          <w:szCs w:val="24"/>
        </w:rPr>
        <w:t xml:space="preserve">entreprises que nous avons étudiées, à la fois sur les connaissances des collaborateurs, sur les comportements et l'image de l'entreprise. </w:t>
      </w:r>
    </w:p>
    <w:p w:rsidR="00A948C3" w:rsidRPr="00656349" w:rsidRDefault="00656349" w:rsidP="00733297">
      <w:pPr>
        <w:pStyle w:val="Sansinterligne"/>
        <w:rPr>
          <w:rFonts w:ascii="Times New Roman" w:hAnsi="Times New Roman" w:cs="Times New Roman"/>
          <w:b/>
          <w:bCs/>
          <w:sz w:val="24"/>
          <w:szCs w:val="24"/>
        </w:rPr>
      </w:pPr>
      <w:r w:rsidRPr="00656349">
        <w:rPr>
          <w:rFonts w:ascii="Times New Roman" w:hAnsi="Times New Roman" w:cs="Times New Roman"/>
          <w:b/>
          <w:bCs/>
          <w:sz w:val="24"/>
          <w:szCs w:val="24"/>
        </w:rPr>
        <w:lastRenderedPageBreak/>
        <w:t>En conclusion</w:t>
      </w:r>
    </w:p>
    <w:p w:rsidR="00656349" w:rsidRDefault="00656349" w:rsidP="00733297">
      <w:pPr>
        <w:pStyle w:val="Sansinterligne"/>
        <w:rPr>
          <w:bCs/>
          <w:szCs w:val="24"/>
        </w:rPr>
      </w:pPr>
    </w:p>
    <w:p w:rsidR="00733297" w:rsidRPr="00656349" w:rsidRDefault="00733297" w:rsidP="005E50A4">
      <w:pPr>
        <w:pStyle w:val="Sansinterligne"/>
        <w:spacing w:line="480" w:lineRule="auto"/>
        <w:rPr>
          <w:rFonts w:ascii="Times New Roman" w:hAnsi="Times New Roman" w:cs="Times New Roman"/>
          <w:bCs/>
          <w:sz w:val="24"/>
          <w:szCs w:val="24"/>
        </w:rPr>
      </w:pPr>
      <w:r w:rsidRPr="00656349">
        <w:rPr>
          <w:rFonts w:ascii="Times New Roman" w:hAnsi="Times New Roman" w:cs="Times New Roman"/>
          <w:bCs/>
          <w:sz w:val="24"/>
          <w:szCs w:val="24"/>
        </w:rPr>
        <w:t>Améliorer le bien-être au travail permet d’envisager de prolonger l’activit</w:t>
      </w:r>
      <w:r w:rsidR="005E50A4">
        <w:rPr>
          <w:rFonts w:ascii="Times New Roman" w:hAnsi="Times New Roman" w:cs="Times New Roman"/>
          <w:bCs/>
          <w:sz w:val="24"/>
          <w:szCs w:val="24"/>
        </w:rPr>
        <w:t xml:space="preserve">é professionnelle, ce </w:t>
      </w:r>
      <w:r w:rsidRPr="00656349">
        <w:rPr>
          <w:rFonts w:ascii="Times New Roman" w:hAnsi="Times New Roman" w:cs="Times New Roman"/>
          <w:bCs/>
          <w:sz w:val="24"/>
          <w:szCs w:val="24"/>
        </w:rPr>
        <w:t xml:space="preserve">qui est souhaitable et indispensable pour des raisons économiques évidentes et plus encore pour des raisons personnelles </w:t>
      </w:r>
      <w:r w:rsidR="00656349" w:rsidRPr="00656349">
        <w:rPr>
          <w:rFonts w:ascii="Times New Roman" w:hAnsi="Times New Roman" w:cs="Times New Roman"/>
          <w:bCs/>
          <w:sz w:val="24"/>
          <w:szCs w:val="24"/>
        </w:rPr>
        <w:t>en faveur de</w:t>
      </w:r>
      <w:r w:rsidRPr="00656349">
        <w:rPr>
          <w:rFonts w:ascii="Times New Roman" w:hAnsi="Times New Roman" w:cs="Times New Roman"/>
          <w:bCs/>
          <w:sz w:val="24"/>
          <w:szCs w:val="24"/>
        </w:rPr>
        <w:t xml:space="preserve"> chaque individu. </w:t>
      </w:r>
      <w:r w:rsidR="005E50A4" w:rsidRPr="00067B8B">
        <w:rPr>
          <w:rFonts w:ascii="Times New Roman" w:hAnsi="Times New Roman" w:cs="Times New Roman"/>
          <w:sz w:val="24"/>
          <w:szCs w:val="24"/>
        </w:rPr>
        <w:t xml:space="preserve">Il faut </w:t>
      </w:r>
      <w:r w:rsidR="005E50A4" w:rsidRPr="00067B8B">
        <w:rPr>
          <w:rFonts w:ascii="Times New Roman" w:hAnsi="Times New Roman" w:cs="Times New Roman"/>
          <w:bCs/>
          <w:sz w:val="24"/>
          <w:szCs w:val="24"/>
        </w:rPr>
        <w:t>concilier santé et performance. Ainsi une politique globale d’amélioration des conditions de travail</w:t>
      </w:r>
      <w:r w:rsidR="005E50A4">
        <w:rPr>
          <w:rFonts w:ascii="Times New Roman" w:hAnsi="Times New Roman" w:cs="Times New Roman"/>
          <w:bCs/>
          <w:sz w:val="24"/>
          <w:szCs w:val="24"/>
        </w:rPr>
        <w:t xml:space="preserve"> basée sur la prévention </w:t>
      </w:r>
      <w:r w:rsidR="005E50A4" w:rsidRPr="00067B8B">
        <w:rPr>
          <w:rFonts w:ascii="Times New Roman" w:hAnsi="Times New Roman" w:cs="Times New Roman"/>
          <w:bCs/>
          <w:sz w:val="24"/>
          <w:szCs w:val="24"/>
        </w:rPr>
        <w:t xml:space="preserve"> doit avoir pour objectif de réduire les contraintes de temps, la charge physique ou mentale pour tous les salariés</w:t>
      </w:r>
      <w:r w:rsidR="005E50A4" w:rsidRPr="00067B8B">
        <w:rPr>
          <w:rStyle w:val="Appeldenotedefin"/>
          <w:rFonts w:ascii="Times New Roman" w:hAnsi="Times New Roman" w:cs="Times New Roman"/>
          <w:bCs/>
          <w:sz w:val="24"/>
          <w:szCs w:val="24"/>
        </w:rPr>
        <w:endnoteReference w:id="14"/>
      </w:r>
      <w:r w:rsidR="005E50A4" w:rsidRPr="00067B8B">
        <w:rPr>
          <w:rFonts w:ascii="Times New Roman" w:hAnsi="Times New Roman" w:cs="Times New Roman"/>
          <w:bCs/>
          <w:sz w:val="24"/>
          <w:szCs w:val="24"/>
        </w:rPr>
        <w:t>.</w:t>
      </w:r>
      <w:r w:rsidR="005E50A4" w:rsidRPr="00067B8B">
        <w:rPr>
          <w:rFonts w:ascii="Times New Roman" w:hAnsi="Times New Roman" w:cs="Times New Roman"/>
          <w:sz w:val="24"/>
          <w:szCs w:val="24"/>
        </w:rPr>
        <w:t xml:space="preserve"> </w:t>
      </w:r>
      <w:r w:rsidR="005E50A4" w:rsidRPr="00067B8B">
        <w:rPr>
          <w:rFonts w:ascii="Times New Roman" w:hAnsi="Times New Roman" w:cs="Times New Roman"/>
          <w:bCs/>
          <w:sz w:val="24"/>
          <w:szCs w:val="24"/>
        </w:rPr>
        <w:t>La conception et l’aménagement des postes doivent ainsi intégrer le vieillissement des salariés mais s</w:t>
      </w:r>
      <w:r w:rsidR="005E50A4">
        <w:rPr>
          <w:rFonts w:ascii="Times New Roman" w:hAnsi="Times New Roman" w:cs="Times New Roman"/>
          <w:bCs/>
          <w:sz w:val="24"/>
          <w:szCs w:val="24"/>
        </w:rPr>
        <w:t>er</w:t>
      </w:r>
      <w:r w:rsidR="005E50A4" w:rsidRPr="00067B8B">
        <w:rPr>
          <w:rFonts w:ascii="Times New Roman" w:hAnsi="Times New Roman" w:cs="Times New Roman"/>
          <w:bCs/>
          <w:sz w:val="24"/>
          <w:szCs w:val="24"/>
        </w:rPr>
        <w:t>ont bénéfiques à tous les salariés.</w:t>
      </w:r>
      <w:r w:rsidR="005E50A4" w:rsidRPr="00067B8B">
        <w:rPr>
          <w:rFonts w:ascii="Times New Roman" w:hAnsi="Times New Roman" w:cs="Times New Roman"/>
          <w:sz w:val="24"/>
          <w:szCs w:val="24"/>
        </w:rPr>
        <w:t xml:space="preserve"> </w:t>
      </w:r>
      <w:r w:rsidR="005E50A4" w:rsidRPr="00067B8B">
        <w:rPr>
          <w:rFonts w:ascii="Times New Roman" w:hAnsi="Times New Roman" w:cs="Times New Roman"/>
          <w:bCs/>
          <w:sz w:val="24"/>
          <w:szCs w:val="24"/>
        </w:rPr>
        <w:t>L’organisation du travail (rythme, durée, répartition des tâches), permettra aux plus âgés de mettre à profit leur expérience. Il faut anticiper, parallèlement, les besoins en compétences et promouvoir ainsi la formation à tout âge. La plasticité cérébrale le permet.</w:t>
      </w:r>
      <w:r w:rsidR="005E50A4">
        <w:rPr>
          <w:rFonts w:ascii="Times New Roman" w:hAnsi="Times New Roman" w:cs="Times New Roman"/>
          <w:sz w:val="24"/>
          <w:szCs w:val="24"/>
        </w:rPr>
        <w:t xml:space="preserve"> </w:t>
      </w:r>
      <w:r w:rsidR="005E50A4" w:rsidRPr="00067B8B">
        <w:rPr>
          <w:rFonts w:ascii="Times New Roman" w:hAnsi="Times New Roman" w:cs="Times New Roman"/>
          <w:bCs/>
          <w:sz w:val="24"/>
          <w:szCs w:val="24"/>
        </w:rPr>
        <w:t>Il faut faciliter la transmission des savoirs. C’est l’intérêt de l’entreprise et l’honneur du salarié âgé.</w:t>
      </w:r>
    </w:p>
    <w:p w:rsidR="00D81DF3" w:rsidRDefault="00D81DF3" w:rsidP="00462265">
      <w:pPr>
        <w:spacing w:line="240" w:lineRule="auto"/>
        <w:rPr>
          <w:rFonts w:ascii="Times New Roman" w:hAnsi="Times New Roman" w:cs="Times New Roman"/>
          <w:b/>
          <w:bCs/>
          <w:sz w:val="24"/>
          <w:szCs w:val="24"/>
        </w:rPr>
      </w:pPr>
      <w:r>
        <w:rPr>
          <w:rFonts w:ascii="Times New Roman" w:hAnsi="Times New Roman" w:cs="Times New Roman"/>
          <w:b/>
          <w:bCs/>
          <w:sz w:val="24"/>
          <w:szCs w:val="24"/>
        </w:rPr>
        <w:t>ILC-France</w:t>
      </w:r>
    </w:p>
    <w:p w:rsidR="00D81DF3" w:rsidRDefault="00D81DF3" w:rsidP="00462265">
      <w:pPr>
        <w:spacing w:line="240" w:lineRule="auto"/>
        <w:rPr>
          <w:rFonts w:ascii="Times New Roman" w:hAnsi="Times New Roman" w:cs="Times New Roman"/>
          <w:b/>
          <w:bCs/>
          <w:sz w:val="24"/>
          <w:szCs w:val="24"/>
        </w:rPr>
      </w:pPr>
      <w:r>
        <w:rPr>
          <w:rFonts w:ascii="Times New Roman" w:hAnsi="Times New Roman" w:cs="Times New Roman"/>
          <w:b/>
          <w:bCs/>
          <w:sz w:val="24"/>
          <w:szCs w:val="24"/>
        </w:rPr>
        <w:t>11 rue Jean Mermoz 75008 Paris</w:t>
      </w:r>
    </w:p>
    <w:p w:rsidR="000A644B" w:rsidRDefault="00462265" w:rsidP="00462265">
      <w:pPr>
        <w:spacing w:line="240" w:lineRule="auto"/>
        <w:rPr>
          <w:rFonts w:ascii="Times New Roman" w:hAnsi="Times New Roman" w:cs="Times New Roman"/>
          <w:b/>
          <w:bCs/>
          <w:sz w:val="24"/>
          <w:szCs w:val="24"/>
        </w:rPr>
      </w:pPr>
      <w:hyperlink r:id="rId11" w:history="1">
        <w:r w:rsidRPr="003B1685">
          <w:rPr>
            <w:rStyle w:val="Lienhypertexte"/>
            <w:rFonts w:ascii="Times New Roman" w:hAnsi="Times New Roman" w:cs="Times New Roman"/>
            <w:b/>
            <w:bCs/>
            <w:sz w:val="24"/>
            <w:szCs w:val="24"/>
          </w:rPr>
          <w:t>www.ilcfrance.org</w:t>
        </w:r>
      </w:hyperlink>
    </w:p>
    <w:p w:rsidR="00462265" w:rsidRPr="00462265" w:rsidRDefault="00462265" w:rsidP="00462265">
      <w:pPr>
        <w:spacing w:line="240" w:lineRule="auto"/>
        <w:rPr>
          <w:rFonts w:ascii="Times New Roman" w:hAnsi="Times New Roman" w:cs="Times New Roman"/>
          <w:b/>
          <w:bCs/>
          <w:sz w:val="24"/>
          <w:szCs w:val="24"/>
        </w:rPr>
      </w:pPr>
    </w:p>
    <w:sectPr w:rsidR="00462265" w:rsidRPr="00462265" w:rsidSect="00D81DF3">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EC" w:rsidRDefault="00A90BEC" w:rsidP="00D81DF3">
      <w:pPr>
        <w:spacing w:after="0" w:line="240" w:lineRule="auto"/>
      </w:pPr>
      <w:r>
        <w:separator/>
      </w:r>
    </w:p>
  </w:endnote>
  <w:endnote w:type="continuationSeparator" w:id="0">
    <w:p w:rsidR="00A90BEC" w:rsidRDefault="00A90BEC" w:rsidP="00D81DF3">
      <w:pPr>
        <w:spacing w:after="0" w:line="240" w:lineRule="auto"/>
      </w:pPr>
      <w:r>
        <w:continuationSeparator/>
      </w:r>
    </w:p>
  </w:endnote>
  <w:endnote w:id="1">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r w:rsidRPr="00462265">
        <w:rPr>
          <w:rFonts w:ascii="Times New Roman" w:hAnsi="Times New Roman" w:cs="Times New Roman"/>
          <w:bCs/>
          <w:i/>
          <w:iCs/>
          <w:sz w:val="24"/>
          <w:szCs w:val="24"/>
        </w:rPr>
        <w:t xml:space="preserve">Source : UN World Population Prospects (2002 </w:t>
      </w:r>
      <w:proofErr w:type="spellStart"/>
      <w:r w:rsidRPr="00462265">
        <w:rPr>
          <w:rFonts w:ascii="Times New Roman" w:hAnsi="Times New Roman" w:cs="Times New Roman"/>
          <w:bCs/>
          <w:i/>
          <w:iCs/>
          <w:sz w:val="24"/>
          <w:szCs w:val="24"/>
        </w:rPr>
        <w:t>Revision</w:t>
      </w:r>
      <w:proofErr w:type="spellEnd"/>
      <w:r w:rsidRPr="00462265">
        <w:rPr>
          <w:rFonts w:ascii="Times New Roman" w:hAnsi="Times New Roman" w:cs="Times New Roman"/>
          <w:bCs/>
          <w:i/>
          <w:iCs/>
          <w:sz w:val="24"/>
          <w:szCs w:val="24"/>
        </w:rPr>
        <w:t xml:space="preserve">) Eurostat 2004. </w:t>
      </w:r>
      <w:proofErr w:type="spellStart"/>
      <w:r w:rsidRPr="00462265">
        <w:rPr>
          <w:rFonts w:ascii="Times New Roman" w:hAnsi="Times New Roman" w:cs="Times New Roman"/>
          <w:bCs/>
          <w:i/>
          <w:iCs/>
          <w:sz w:val="24"/>
          <w:szCs w:val="24"/>
        </w:rPr>
        <w:t>Demographic</w:t>
      </w:r>
      <w:proofErr w:type="spellEnd"/>
      <w:r w:rsidRPr="00462265">
        <w:rPr>
          <w:rFonts w:ascii="Times New Roman" w:hAnsi="Times New Roman" w:cs="Times New Roman"/>
          <w:bCs/>
          <w:i/>
          <w:iCs/>
          <w:sz w:val="24"/>
          <w:szCs w:val="24"/>
        </w:rPr>
        <w:t xml:space="preserve"> projection (</w:t>
      </w:r>
      <w:proofErr w:type="spellStart"/>
      <w:r w:rsidRPr="00462265">
        <w:rPr>
          <w:rFonts w:ascii="Times New Roman" w:hAnsi="Times New Roman" w:cs="Times New Roman"/>
          <w:bCs/>
          <w:i/>
          <w:iCs/>
          <w:sz w:val="24"/>
          <w:szCs w:val="24"/>
        </w:rPr>
        <w:t>baseline</w:t>
      </w:r>
      <w:proofErr w:type="spellEnd"/>
      <w:r w:rsidRPr="00462265">
        <w:rPr>
          <w:rFonts w:ascii="Times New Roman" w:hAnsi="Times New Roman" w:cs="Times New Roman"/>
          <w:bCs/>
          <w:i/>
          <w:iCs/>
          <w:sz w:val="24"/>
          <w:szCs w:val="24"/>
        </w:rPr>
        <w:t xml:space="preserve"> scenario).</w:t>
      </w:r>
    </w:p>
  </w:endnote>
  <w:endnote w:id="2">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http://appsso.eurostat.ec.europa.eu/nui/submitViewTableAction. v3.0.3.3-2015.03.09 </w:t>
      </w:r>
    </w:p>
  </w:endnote>
  <w:endnote w:id="3">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Baromètre IFOP sur la perception des discriminations au travail - Vague 7 - Note de synthèse -Janvier 2014</w:t>
      </w:r>
    </w:p>
  </w:endnote>
  <w:endnote w:id="4">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proofErr w:type="spellStart"/>
      <w:r w:rsidRPr="00462265">
        <w:rPr>
          <w:rFonts w:ascii="Times New Roman" w:hAnsi="Times New Roman" w:cs="Times New Roman"/>
          <w:i/>
          <w:sz w:val="24"/>
          <w:szCs w:val="24"/>
        </w:rPr>
        <w:t>Dares</w:t>
      </w:r>
      <w:proofErr w:type="spellEnd"/>
      <w:r w:rsidRPr="00462265">
        <w:rPr>
          <w:rFonts w:ascii="Times New Roman" w:hAnsi="Times New Roman" w:cs="Times New Roman"/>
          <w:i/>
          <w:sz w:val="24"/>
          <w:szCs w:val="24"/>
        </w:rPr>
        <w:t xml:space="preserve"> analyses. 2013. N° 083. </w:t>
      </w:r>
    </w:p>
  </w:endnote>
  <w:endnote w:id="5">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r w:rsidRPr="00462265">
        <w:rPr>
          <w:rFonts w:ascii="Times New Roman" w:hAnsi="Times New Roman" w:cs="Times New Roman"/>
          <w:bCs/>
          <w:i/>
          <w:sz w:val="24"/>
          <w:szCs w:val="24"/>
        </w:rPr>
        <w:t xml:space="preserve">Source </w:t>
      </w:r>
      <w:r w:rsidRPr="00462265">
        <w:rPr>
          <w:rFonts w:ascii="Times New Roman" w:hAnsi="Times New Roman" w:cs="Times New Roman"/>
          <w:i/>
          <w:sz w:val="24"/>
          <w:szCs w:val="24"/>
        </w:rPr>
        <w:t xml:space="preserve">: </w:t>
      </w:r>
      <w:proofErr w:type="spellStart"/>
      <w:r w:rsidRPr="00462265">
        <w:rPr>
          <w:rFonts w:ascii="Times New Roman" w:hAnsi="Times New Roman" w:cs="Times New Roman"/>
          <w:i/>
          <w:sz w:val="24"/>
          <w:szCs w:val="24"/>
        </w:rPr>
        <w:t>Irdes</w:t>
      </w:r>
      <w:proofErr w:type="spellEnd"/>
      <w:r w:rsidRPr="00462265">
        <w:rPr>
          <w:rFonts w:ascii="Times New Roman" w:hAnsi="Times New Roman" w:cs="Times New Roman"/>
          <w:i/>
          <w:sz w:val="24"/>
          <w:szCs w:val="24"/>
        </w:rPr>
        <w:t>, données enquête SHARE 20 06-2007 (vague 2). Effectifs pondérés. Questions d’économie de la santé n° 160 - Décembre 2010</w:t>
      </w:r>
    </w:p>
  </w:endnote>
  <w:endnote w:id="6">
    <w:p w:rsidR="00D81DF3" w:rsidRPr="00462265" w:rsidRDefault="00D81DF3" w:rsidP="00D81DF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Sumer 2010 </w:t>
      </w:r>
      <w:proofErr w:type="spellStart"/>
      <w:r w:rsidRPr="00462265">
        <w:rPr>
          <w:rFonts w:ascii="Times New Roman" w:hAnsi="Times New Roman" w:cs="Times New Roman"/>
          <w:i/>
          <w:sz w:val="24"/>
          <w:szCs w:val="24"/>
        </w:rPr>
        <w:t>Dares</w:t>
      </w:r>
      <w:proofErr w:type="spellEnd"/>
      <w:r w:rsidRPr="00462265">
        <w:rPr>
          <w:rFonts w:ascii="Times New Roman" w:hAnsi="Times New Roman" w:cs="Times New Roman"/>
          <w:i/>
          <w:sz w:val="24"/>
          <w:szCs w:val="24"/>
        </w:rPr>
        <w:t xml:space="preserve"> Analyses. Février 2013 – N° 010. </w:t>
      </w:r>
    </w:p>
  </w:endnote>
  <w:endnote w:id="7">
    <w:p w:rsidR="00D50802" w:rsidRPr="00462265" w:rsidRDefault="00D50802" w:rsidP="00D50802">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hyperlink r:id="rId1" w:history="1">
        <w:r w:rsidRPr="00462265">
          <w:rPr>
            <w:rStyle w:val="Lienhypertexte"/>
            <w:rFonts w:ascii="Times New Roman" w:hAnsi="Times New Roman" w:cs="Times New Roman"/>
            <w:i/>
            <w:color w:val="auto"/>
            <w:sz w:val="24"/>
            <w:szCs w:val="24"/>
            <w:u w:val="none"/>
          </w:rPr>
          <w:t>http</w:t>
        </w:r>
      </w:hyperlink>
      <w:hyperlink r:id="rId2" w:history="1">
        <w:r w:rsidRPr="00462265">
          <w:rPr>
            <w:rStyle w:val="Lienhypertexte"/>
            <w:rFonts w:ascii="Times New Roman" w:hAnsi="Times New Roman" w:cs="Times New Roman"/>
            <w:i/>
            <w:color w:val="auto"/>
            <w:sz w:val="24"/>
            <w:szCs w:val="24"/>
            <w:u w:val="none"/>
          </w:rPr>
          <w:t>://www.travailler-mieux.gouv.fr/IMG/pdf/livreblancstress.pdf</w:t>
        </w:r>
      </w:hyperlink>
    </w:p>
  </w:endnote>
  <w:endnote w:id="8">
    <w:p w:rsidR="00D50802" w:rsidRPr="00462265" w:rsidRDefault="00D50802" w:rsidP="00D50802">
      <w:pPr>
        <w:pStyle w:val="Sansinterligne"/>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ANDRH- Livret N° 2- commission nationale sur le stress au travail- mai 2011- </w:t>
      </w:r>
    </w:p>
  </w:endnote>
  <w:endnote w:id="9">
    <w:p w:rsidR="00D50802" w:rsidRPr="00462265" w:rsidRDefault="00D50802" w:rsidP="00733297">
      <w:pPr>
        <w:pStyle w:val="Sansinterligne"/>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A. </w:t>
      </w:r>
      <w:r w:rsidRPr="00462265">
        <w:rPr>
          <w:rFonts w:ascii="Times New Roman" w:hAnsi="Times New Roman" w:cs="Times New Roman"/>
          <w:i/>
          <w:iCs/>
          <w:sz w:val="24"/>
          <w:szCs w:val="24"/>
        </w:rPr>
        <w:t xml:space="preserve">H.X. Wang et al / </w:t>
      </w:r>
      <w:proofErr w:type="spellStart"/>
      <w:r w:rsidRPr="00462265">
        <w:rPr>
          <w:rFonts w:ascii="Times New Roman" w:hAnsi="Times New Roman" w:cs="Times New Roman"/>
          <w:i/>
          <w:iCs/>
          <w:sz w:val="24"/>
          <w:szCs w:val="24"/>
        </w:rPr>
        <w:t>Alzheimer’s</w:t>
      </w:r>
      <w:proofErr w:type="spellEnd"/>
      <w:r w:rsidRPr="00462265">
        <w:rPr>
          <w:rFonts w:ascii="Times New Roman" w:hAnsi="Times New Roman" w:cs="Times New Roman"/>
          <w:i/>
          <w:iCs/>
          <w:sz w:val="24"/>
          <w:szCs w:val="24"/>
        </w:rPr>
        <w:t xml:space="preserve">&amp; </w:t>
      </w:r>
      <w:proofErr w:type="spellStart"/>
      <w:r w:rsidRPr="00462265">
        <w:rPr>
          <w:rFonts w:ascii="Times New Roman" w:hAnsi="Times New Roman" w:cs="Times New Roman"/>
          <w:i/>
          <w:iCs/>
          <w:sz w:val="24"/>
          <w:szCs w:val="24"/>
        </w:rPr>
        <w:t>dementia</w:t>
      </w:r>
      <w:proofErr w:type="spellEnd"/>
      <w:r w:rsidRPr="00462265">
        <w:rPr>
          <w:rFonts w:ascii="Times New Roman" w:hAnsi="Times New Roman" w:cs="Times New Roman"/>
          <w:i/>
          <w:iCs/>
          <w:sz w:val="24"/>
          <w:szCs w:val="24"/>
        </w:rPr>
        <w:t xml:space="preserve"> 8 (2012): 114-120 </w:t>
      </w:r>
    </w:p>
  </w:endnote>
  <w:endnote w:id="10">
    <w:p w:rsidR="00733297" w:rsidRPr="00462265" w:rsidRDefault="00733297" w:rsidP="00A948C3">
      <w:pPr>
        <w:pStyle w:val="Sansinterligne"/>
        <w:rPr>
          <w:rFonts w:ascii="Times New Roman" w:hAnsi="Times New Roman" w:cs="Times New Roman"/>
          <w:i/>
          <w:iCs/>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proofErr w:type="spellStart"/>
      <w:r w:rsidRPr="00462265">
        <w:rPr>
          <w:rFonts w:ascii="Times New Roman" w:hAnsi="Times New Roman" w:cs="Times New Roman"/>
          <w:i/>
          <w:iCs/>
          <w:sz w:val="24"/>
          <w:szCs w:val="24"/>
        </w:rPr>
        <w:t>Barometre</w:t>
      </w:r>
      <w:proofErr w:type="spellEnd"/>
      <w:r w:rsidRPr="00462265">
        <w:rPr>
          <w:rFonts w:ascii="Times New Roman" w:hAnsi="Times New Roman" w:cs="Times New Roman"/>
          <w:i/>
          <w:iCs/>
          <w:sz w:val="24"/>
          <w:szCs w:val="24"/>
        </w:rPr>
        <w:t xml:space="preserve"> </w:t>
      </w:r>
      <w:proofErr w:type="spellStart"/>
      <w:r w:rsidRPr="00462265">
        <w:rPr>
          <w:rFonts w:ascii="Times New Roman" w:hAnsi="Times New Roman" w:cs="Times New Roman"/>
          <w:i/>
          <w:iCs/>
          <w:sz w:val="24"/>
          <w:szCs w:val="24"/>
        </w:rPr>
        <w:t>Edenred</w:t>
      </w:r>
      <w:proofErr w:type="spellEnd"/>
      <w:r w:rsidRPr="00462265">
        <w:rPr>
          <w:rFonts w:ascii="Times New Roman" w:hAnsi="Times New Roman" w:cs="Times New Roman"/>
          <w:i/>
          <w:iCs/>
          <w:sz w:val="24"/>
          <w:szCs w:val="24"/>
        </w:rPr>
        <w:t xml:space="preserve"> Ipsos- Le bien-être et la motivation des salariés français- Edition 2011 </w:t>
      </w:r>
    </w:p>
  </w:endnote>
  <w:endnote w:id="11">
    <w:p w:rsidR="00A948C3" w:rsidRPr="00462265" w:rsidRDefault="00A948C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proofErr w:type="spellStart"/>
      <w:r w:rsidRPr="00462265">
        <w:rPr>
          <w:rFonts w:ascii="Times New Roman" w:hAnsi="Times New Roman" w:cs="Times New Roman"/>
          <w:i/>
          <w:iCs/>
          <w:sz w:val="24"/>
          <w:szCs w:val="24"/>
        </w:rPr>
        <w:t>Eur</w:t>
      </w:r>
      <w:proofErr w:type="spellEnd"/>
      <w:r w:rsidRPr="00462265">
        <w:rPr>
          <w:rFonts w:ascii="Times New Roman" w:hAnsi="Times New Roman" w:cs="Times New Roman"/>
          <w:i/>
          <w:iCs/>
          <w:sz w:val="24"/>
          <w:szCs w:val="24"/>
        </w:rPr>
        <w:t xml:space="preserve">. J. </w:t>
      </w:r>
      <w:proofErr w:type="spellStart"/>
      <w:r w:rsidRPr="00462265">
        <w:rPr>
          <w:rFonts w:ascii="Times New Roman" w:hAnsi="Times New Roman" w:cs="Times New Roman"/>
          <w:i/>
          <w:iCs/>
          <w:sz w:val="24"/>
          <w:szCs w:val="24"/>
        </w:rPr>
        <w:t>epidemiol</w:t>
      </w:r>
      <w:proofErr w:type="spellEnd"/>
      <w:r w:rsidRPr="00462265">
        <w:rPr>
          <w:rFonts w:ascii="Times New Roman" w:hAnsi="Times New Roman" w:cs="Times New Roman"/>
          <w:i/>
          <w:iCs/>
          <w:sz w:val="24"/>
          <w:szCs w:val="24"/>
        </w:rPr>
        <w:t xml:space="preserve"> 2014; 29:253-61</w:t>
      </w:r>
    </w:p>
  </w:endnote>
  <w:endnote w:id="12">
    <w:p w:rsidR="00B3788A" w:rsidRPr="00462265" w:rsidRDefault="00B3788A" w:rsidP="00B3788A">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hyperlink r:id="rId3" w:history="1">
        <w:r w:rsidRPr="00462265">
          <w:rPr>
            <w:rStyle w:val="Lienhypertexte"/>
            <w:rFonts w:ascii="Times New Roman" w:hAnsi="Times New Roman" w:cs="Times New Roman"/>
            <w:i/>
            <w:color w:val="auto"/>
            <w:sz w:val="24"/>
            <w:szCs w:val="24"/>
            <w:u w:val="none"/>
          </w:rPr>
          <w:t>http://www.inrs.fr/accueil/situations-travail/travailleurs-particuliers/vieillissant.html</w:t>
        </w:r>
      </w:hyperlink>
      <w:r w:rsidRPr="00462265">
        <w:rPr>
          <w:rFonts w:ascii="Times New Roman" w:hAnsi="Times New Roman" w:cs="Times New Roman"/>
          <w:i/>
          <w:sz w:val="24"/>
          <w:szCs w:val="24"/>
        </w:rPr>
        <w:t xml:space="preserve"> </w:t>
      </w:r>
    </w:p>
  </w:endnote>
  <w:endnote w:id="13">
    <w:p w:rsidR="00A948C3" w:rsidRPr="00462265" w:rsidRDefault="00A948C3">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Santé Publique Vol 26 / N° 4-Juillet-Août 2014</w:t>
      </w:r>
    </w:p>
  </w:endnote>
  <w:endnote w:id="14">
    <w:p w:rsidR="005E50A4" w:rsidRPr="00462265" w:rsidRDefault="005E50A4" w:rsidP="005E50A4">
      <w:pPr>
        <w:pStyle w:val="Notedefin"/>
        <w:rPr>
          <w:rFonts w:ascii="Times New Roman" w:hAnsi="Times New Roman" w:cs="Times New Roman"/>
          <w:i/>
          <w:sz w:val="24"/>
          <w:szCs w:val="24"/>
        </w:rPr>
      </w:pPr>
      <w:r w:rsidRPr="00462265">
        <w:rPr>
          <w:rStyle w:val="Appeldenotedefin"/>
          <w:rFonts w:ascii="Times New Roman" w:hAnsi="Times New Roman" w:cs="Times New Roman"/>
          <w:i/>
          <w:sz w:val="24"/>
          <w:szCs w:val="24"/>
        </w:rPr>
        <w:endnoteRef/>
      </w:r>
      <w:r w:rsidRPr="00462265">
        <w:rPr>
          <w:rFonts w:ascii="Times New Roman" w:hAnsi="Times New Roman" w:cs="Times New Roman"/>
          <w:i/>
          <w:sz w:val="24"/>
          <w:szCs w:val="24"/>
        </w:rPr>
        <w:t xml:space="preserve"> </w:t>
      </w:r>
      <w:hyperlink r:id="rId4" w:history="1">
        <w:r w:rsidRPr="00462265">
          <w:rPr>
            <w:rStyle w:val="Lienhypertexte"/>
            <w:rFonts w:ascii="Times New Roman" w:hAnsi="Times New Roman" w:cs="Times New Roman"/>
            <w:i/>
            <w:color w:val="auto"/>
            <w:sz w:val="24"/>
            <w:szCs w:val="24"/>
            <w:u w:val="none"/>
          </w:rPr>
          <w:t>http://www.inrs.fr/accueil/situations-travail/travailleurs-particuliers/vieillissant.html</w:t>
        </w:r>
      </w:hyperlink>
      <w:r w:rsidRPr="00462265">
        <w:rPr>
          <w:rFonts w:ascii="Times New Roman" w:hAnsi="Times New Roman" w:cs="Times New Roman"/>
          <w:i/>
          <w:sz w:val="24"/>
          <w:szCs w:val="24"/>
        </w:rPr>
        <w:t xml:space="preserve"> </w:t>
      </w:r>
    </w:p>
    <w:p w:rsidR="005E50A4" w:rsidRDefault="005E50A4" w:rsidP="005E50A4">
      <w:pPr>
        <w:pStyle w:val="Notedefin"/>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2018"/>
      <w:docPartObj>
        <w:docPartGallery w:val="Page Numbers (Bottom of Page)"/>
        <w:docPartUnique/>
      </w:docPartObj>
    </w:sdtPr>
    <w:sdtContent>
      <w:p w:rsidR="00BC720A" w:rsidRDefault="00A75F8B">
        <w:pPr>
          <w:pStyle w:val="Pieddepage"/>
          <w:jc w:val="right"/>
        </w:pPr>
        <w:r>
          <w:fldChar w:fldCharType="begin"/>
        </w:r>
        <w:r w:rsidR="004A7CF8">
          <w:instrText xml:space="preserve"> PAGE   \* MERGEFORMAT </w:instrText>
        </w:r>
        <w:r>
          <w:fldChar w:fldCharType="separate"/>
        </w:r>
        <w:r w:rsidR="00462265">
          <w:rPr>
            <w:noProof/>
          </w:rPr>
          <w:t>7</w:t>
        </w:r>
        <w:r>
          <w:fldChar w:fldCharType="end"/>
        </w:r>
      </w:p>
    </w:sdtContent>
  </w:sdt>
  <w:p w:rsidR="00BC720A" w:rsidRDefault="00A90B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EC" w:rsidRDefault="00A90BEC" w:rsidP="00D81DF3">
      <w:pPr>
        <w:spacing w:after="0" w:line="240" w:lineRule="auto"/>
      </w:pPr>
      <w:r>
        <w:separator/>
      </w:r>
    </w:p>
  </w:footnote>
  <w:footnote w:type="continuationSeparator" w:id="0">
    <w:p w:rsidR="00A90BEC" w:rsidRDefault="00A90BEC" w:rsidP="00D81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BF"/>
    <w:multiLevelType w:val="hybridMultilevel"/>
    <w:tmpl w:val="476C5F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FC5D4D"/>
    <w:multiLevelType w:val="hybridMultilevel"/>
    <w:tmpl w:val="35485E46"/>
    <w:lvl w:ilvl="0" w:tplc="3AB2347A">
      <w:start w:val="1"/>
      <w:numFmt w:val="bullet"/>
      <w:lvlText w:val="•"/>
      <w:lvlJc w:val="left"/>
      <w:pPr>
        <w:tabs>
          <w:tab w:val="num" w:pos="720"/>
        </w:tabs>
        <w:ind w:left="720" w:hanging="360"/>
      </w:pPr>
      <w:rPr>
        <w:rFonts w:ascii="Arial" w:hAnsi="Arial" w:hint="default"/>
      </w:rPr>
    </w:lvl>
    <w:lvl w:ilvl="1" w:tplc="7D56D040" w:tentative="1">
      <w:start w:val="1"/>
      <w:numFmt w:val="bullet"/>
      <w:lvlText w:val="•"/>
      <w:lvlJc w:val="left"/>
      <w:pPr>
        <w:tabs>
          <w:tab w:val="num" w:pos="1440"/>
        </w:tabs>
        <w:ind w:left="1440" w:hanging="360"/>
      </w:pPr>
      <w:rPr>
        <w:rFonts w:ascii="Arial" w:hAnsi="Arial" w:hint="default"/>
      </w:rPr>
    </w:lvl>
    <w:lvl w:ilvl="2" w:tplc="A4CCD946" w:tentative="1">
      <w:start w:val="1"/>
      <w:numFmt w:val="bullet"/>
      <w:lvlText w:val="•"/>
      <w:lvlJc w:val="left"/>
      <w:pPr>
        <w:tabs>
          <w:tab w:val="num" w:pos="2160"/>
        </w:tabs>
        <w:ind w:left="2160" w:hanging="360"/>
      </w:pPr>
      <w:rPr>
        <w:rFonts w:ascii="Arial" w:hAnsi="Arial" w:hint="default"/>
      </w:rPr>
    </w:lvl>
    <w:lvl w:ilvl="3" w:tplc="F78EA2BA" w:tentative="1">
      <w:start w:val="1"/>
      <w:numFmt w:val="bullet"/>
      <w:lvlText w:val="•"/>
      <w:lvlJc w:val="left"/>
      <w:pPr>
        <w:tabs>
          <w:tab w:val="num" w:pos="2880"/>
        </w:tabs>
        <w:ind w:left="2880" w:hanging="360"/>
      </w:pPr>
      <w:rPr>
        <w:rFonts w:ascii="Arial" w:hAnsi="Arial" w:hint="default"/>
      </w:rPr>
    </w:lvl>
    <w:lvl w:ilvl="4" w:tplc="27F2EB08" w:tentative="1">
      <w:start w:val="1"/>
      <w:numFmt w:val="bullet"/>
      <w:lvlText w:val="•"/>
      <w:lvlJc w:val="left"/>
      <w:pPr>
        <w:tabs>
          <w:tab w:val="num" w:pos="3600"/>
        </w:tabs>
        <w:ind w:left="3600" w:hanging="360"/>
      </w:pPr>
      <w:rPr>
        <w:rFonts w:ascii="Arial" w:hAnsi="Arial" w:hint="default"/>
      </w:rPr>
    </w:lvl>
    <w:lvl w:ilvl="5" w:tplc="49EC615A" w:tentative="1">
      <w:start w:val="1"/>
      <w:numFmt w:val="bullet"/>
      <w:lvlText w:val="•"/>
      <w:lvlJc w:val="left"/>
      <w:pPr>
        <w:tabs>
          <w:tab w:val="num" w:pos="4320"/>
        </w:tabs>
        <w:ind w:left="4320" w:hanging="360"/>
      </w:pPr>
      <w:rPr>
        <w:rFonts w:ascii="Arial" w:hAnsi="Arial" w:hint="default"/>
      </w:rPr>
    </w:lvl>
    <w:lvl w:ilvl="6" w:tplc="48741AC2" w:tentative="1">
      <w:start w:val="1"/>
      <w:numFmt w:val="bullet"/>
      <w:lvlText w:val="•"/>
      <w:lvlJc w:val="left"/>
      <w:pPr>
        <w:tabs>
          <w:tab w:val="num" w:pos="5040"/>
        </w:tabs>
        <w:ind w:left="5040" w:hanging="360"/>
      </w:pPr>
      <w:rPr>
        <w:rFonts w:ascii="Arial" w:hAnsi="Arial" w:hint="default"/>
      </w:rPr>
    </w:lvl>
    <w:lvl w:ilvl="7" w:tplc="FC4CAC2A" w:tentative="1">
      <w:start w:val="1"/>
      <w:numFmt w:val="bullet"/>
      <w:lvlText w:val="•"/>
      <w:lvlJc w:val="left"/>
      <w:pPr>
        <w:tabs>
          <w:tab w:val="num" w:pos="5760"/>
        </w:tabs>
        <w:ind w:left="5760" w:hanging="360"/>
      </w:pPr>
      <w:rPr>
        <w:rFonts w:ascii="Arial" w:hAnsi="Arial" w:hint="default"/>
      </w:rPr>
    </w:lvl>
    <w:lvl w:ilvl="8" w:tplc="54DCFFE8" w:tentative="1">
      <w:start w:val="1"/>
      <w:numFmt w:val="bullet"/>
      <w:lvlText w:val="•"/>
      <w:lvlJc w:val="left"/>
      <w:pPr>
        <w:tabs>
          <w:tab w:val="num" w:pos="6480"/>
        </w:tabs>
        <w:ind w:left="6480" w:hanging="360"/>
      </w:pPr>
      <w:rPr>
        <w:rFonts w:ascii="Arial" w:hAnsi="Arial" w:hint="default"/>
      </w:rPr>
    </w:lvl>
  </w:abstractNum>
  <w:abstractNum w:abstractNumId="2">
    <w:nsid w:val="0BEB670F"/>
    <w:multiLevelType w:val="hybridMultilevel"/>
    <w:tmpl w:val="EF341C8A"/>
    <w:lvl w:ilvl="0" w:tplc="2C3A3120">
      <w:start w:val="1"/>
      <w:numFmt w:val="bullet"/>
      <w:lvlText w:val="-"/>
      <w:lvlJc w:val="left"/>
      <w:pPr>
        <w:tabs>
          <w:tab w:val="num" w:pos="720"/>
        </w:tabs>
        <w:ind w:left="720" w:hanging="360"/>
      </w:pPr>
      <w:rPr>
        <w:rFonts w:ascii="Times New Roman" w:hAnsi="Times New Roman" w:hint="default"/>
      </w:rPr>
    </w:lvl>
    <w:lvl w:ilvl="1" w:tplc="247E6B56" w:tentative="1">
      <w:start w:val="1"/>
      <w:numFmt w:val="bullet"/>
      <w:lvlText w:val="-"/>
      <w:lvlJc w:val="left"/>
      <w:pPr>
        <w:tabs>
          <w:tab w:val="num" w:pos="1440"/>
        </w:tabs>
        <w:ind w:left="1440" w:hanging="360"/>
      </w:pPr>
      <w:rPr>
        <w:rFonts w:ascii="Times New Roman" w:hAnsi="Times New Roman" w:hint="default"/>
      </w:rPr>
    </w:lvl>
    <w:lvl w:ilvl="2" w:tplc="1B8887FA" w:tentative="1">
      <w:start w:val="1"/>
      <w:numFmt w:val="bullet"/>
      <w:lvlText w:val="-"/>
      <w:lvlJc w:val="left"/>
      <w:pPr>
        <w:tabs>
          <w:tab w:val="num" w:pos="2160"/>
        </w:tabs>
        <w:ind w:left="2160" w:hanging="360"/>
      </w:pPr>
      <w:rPr>
        <w:rFonts w:ascii="Times New Roman" w:hAnsi="Times New Roman" w:hint="default"/>
      </w:rPr>
    </w:lvl>
    <w:lvl w:ilvl="3" w:tplc="02E09F38" w:tentative="1">
      <w:start w:val="1"/>
      <w:numFmt w:val="bullet"/>
      <w:lvlText w:val="-"/>
      <w:lvlJc w:val="left"/>
      <w:pPr>
        <w:tabs>
          <w:tab w:val="num" w:pos="2880"/>
        </w:tabs>
        <w:ind w:left="2880" w:hanging="360"/>
      </w:pPr>
      <w:rPr>
        <w:rFonts w:ascii="Times New Roman" w:hAnsi="Times New Roman" w:hint="default"/>
      </w:rPr>
    </w:lvl>
    <w:lvl w:ilvl="4" w:tplc="D01A2206" w:tentative="1">
      <w:start w:val="1"/>
      <w:numFmt w:val="bullet"/>
      <w:lvlText w:val="-"/>
      <w:lvlJc w:val="left"/>
      <w:pPr>
        <w:tabs>
          <w:tab w:val="num" w:pos="3600"/>
        </w:tabs>
        <w:ind w:left="3600" w:hanging="360"/>
      </w:pPr>
      <w:rPr>
        <w:rFonts w:ascii="Times New Roman" w:hAnsi="Times New Roman" w:hint="default"/>
      </w:rPr>
    </w:lvl>
    <w:lvl w:ilvl="5" w:tplc="B282D164" w:tentative="1">
      <w:start w:val="1"/>
      <w:numFmt w:val="bullet"/>
      <w:lvlText w:val="-"/>
      <w:lvlJc w:val="left"/>
      <w:pPr>
        <w:tabs>
          <w:tab w:val="num" w:pos="4320"/>
        </w:tabs>
        <w:ind w:left="4320" w:hanging="360"/>
      </w:pPr>
      <w:rPr>
        <w:rFonts w:ascii="Times New Roman" w:hAnsi="Times New Roman" w:hint="default"/>
      </w:rPr>
    </w:lvl>
    <w:lvl w:ilvl="6" w:tplc="6340F210" w:tentative="1">
      <w:start w:val="1"/>
      <w:numFmt w:val="bullet"/>
      <w:lvlText w:val="-"/>
      <w:lvlJc w:val="left"/>
      <w:pPr>
        <w:tabs>
          <w:tab w:val="num" w:pos="5040"/>
        </w:tabs>
        <w:ind w:left="5040" w:hanging="360"/>
      </w:pPr>
      <w:rPr>
        <w:rFonts w:ascii="Times New Roman" w:hAnsi="Times New Roman" w:hint="default"/>
      </w:rPr>
    </w:lvl>
    <w:lvl w:ilvl="7" w:tplc="003678EA" w:tentative="1">
      <w:start w:val="1"/>
      <w:numFmt w:val="bullet"/>
      <w:lvlText w:val="-"/>
      <w:lvlJc w:val="left"/>
      <w:pPr>
        <w:tabs>
          <w:tab w:val="num" w:pos="5760"/>
        </w:tabs>
        <w:ind w:left="5760" w:hanging="360"/>
      </w:pPr>
      <w:rPr>
        <w:rFonts w:ascii="Times New Roman" w:hAnsi="Times New Roman" w:hint="default"/>
      </w:rPr>
    </w:lvl>
    <w:lvl w:ilvl="8" w:tplc="2E96A3B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C92BBD"/>
    <w:multiLevelType w:val="hybridMultilevel"/>
    <w:tmpl w:val="6A00D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B240ED"/>
    <w:multiLevelType w:val="hybridMultilevel"/>
    <w:tmpl w:val="888283B4"/>
    <w:lvl w:ilvl="0" w:tplc="040C0001">
      <w:start w:val="1"/>
      <w:numFmt w:val="bullet"/>
      <w:lvlText w:val=""/>
      <w:lvlJc w:val="left"/>
      <w:pPr>
        <w:ind w:left="756" w:hanging="360"/>
      </w:pPr>
      <w:rPr>
        <w:rFonts w:ascii="Symbol" w:hAnsi="Symbol"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5">
    <w:nsid w:val="439022EC"/>
    <w:multiLevelType w:val="hybridMultilevel"/>
    <w:tmpl w:val="9AF2D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4B133EE"/>
    <w:multiLevelType w:val="hybridMultilevel"/>
    <w:tmpl w:val="F71C90B0"/>
    <w:lvl w:ilvl="0" w:tplc="58563F98">
      <w:start w:val="1"/>
      <w:numFmt w:val="bullet"/>
      <w:lvlText w:val="•"/>
      <w:lvlJc w:val="left"/>
      <w:pPr>
        <w:tabs>
          <w:tab w:val="num" w:pos="720"/>
        </w:tabs>
        <w:ind w:left="720" w:hanging="360"/>
      </w:pPr>
      <w:rPr>
        <w:rFonts w:ascii="Arial" w:hAnsi="Arial" w:hint="default"/>
      </w:rPr>
    </w:lvl>
    <w:lvl w:ilvl="1" w:tplc="F4540206" w:tentative="1">
      <w:start w:val="1"/>
      <w:numFmt w:val="bullet"/>
      <w:lvlText w:val="•"/>
      <w:lvlJc w:val="left"/>
      <w:pPr>
        <w:tabs>
          <w:tab w:val="num" w:pos="1440"/>
        </w:tabs>
        <w:ind w:left="1440" w:hanging="360"/>
      </w:pPr>
      <w:rPr>
        <w:rFonts w:ascii="Arial" w:hAnsi="Arial" w:hint="default"/>
      </w:rPr>
    </w:lvl>
    <w:lvl w:ilvl="2" w:tplc="1506D840" w:tentative="1">
      <w:start w:val="1"/>
      <w:numFmt w:val="bullet"/>
      <w:lvlText w:val="•"/>
      <w:lvlJc w:val="left"/>
      <w:pPr>
        <w:tabs>
          <w:tab w:val="num" w:pos="2160"/>
        </w:tabs>
        <w:ind w:left="2160" w:hanging="360"/>
      </w:pPr>
      <w:rPr>
        <w:rFonts w:ascii="Arial" w:hAnsi="Arial" w:hint="default"/>
      </w:rPr>
    </w:lvl>
    <w:lvl w:ilvl="3" w:tplc="94F61924" w:tentative="1">
      <w:start w:val="1"/>
      <w:numFmt w:val="bullet"/>
      <w:lvlText w:val="•"/>
      <w:lvlJc w:val="left"/>
      <w:pPr>
        <w:tabs>
          <w:tab w:val="num" w:pos="2880"/>
        </w:tabs>
        <w:ind w:left="2880" w:hanging="360"/>
      </w:pPr>
      <w:rPr>
        <w:rFonts w:ascii="Arial" w:hAnsi="Arial" w:hint="default"/>
      </w:rPr>
    </w:lvl>
    <w:lvl w:ilvl="4" w:tplc="EE04CC32" w:tentative="1">
      <w:start w:val="1"/>
      <w:numFmt w:val="bullet"/>
      <w:lvlText w:val="•"/>
      <w:lvlJc w:val="left"/>
      <w:pPr>
        <w:tabs>
          <w:tab w:val="num" w:pos="3600"/>
        </w:tabs>
        <w:ind w:left="3600" w:hanging="360"/>
      </w:pPr>
      <w:rPr>
        <w:rFonts w:ascii="Arial" w:hAnsi="Arial" w:hint="default"/>
      </w:rPr>
    </w:lvl>
    <w:lvl w:ilvl="5" w:tplc="2CCAAF5E" w:tentative="1">
      <w:start w:val="1"/>
      <w:numFmt w:val="bullet"/>
      <w:lvlText w:val="•"/>
      <w:lvlJc w:val="left"/>
      <w:pPr>
        <w:tabs>
          <w:tab w:val="num" w:pos="4320"/>
        </w:tabs>
        <w:ind w:left="4320" w:hanging="360"/>
      </w:pPr>
      <w:rPr>
        <w:rFonts w:ascii="Arial" w:hAnsi="Arial" w:hint="default"/>
      </w:rPr>
    </w:lvl>
    <w:lvl w:ilvl="6" w:tplc="23C6A4AE" w:tentative="1">
      <w:start w:val="1"/>
      <w:numFmt w:val="bullet"/>
      <w:lvlText w:val="•"/>
      <w:lvlJc w:val="left"/>
      <w:pPr>
        <w:tabs>
          <w:tab w:val="num" w:pos="5040"/>
        </w:tabs>
        <w:ind w:left="5040" w:hanging="360"/>
      </w:pPr>
      <w:rPr>
        <w:rFonts w:ascii="Arial" w:hAnsi="Arial" w:hint="default"/>
      </w:rPr>
    </w:lvl>
    <w:lvl w:ilvl="7" w:tplc="220A34C4" w:tentative="1">
      <w:start w:val="1"/>
      <w:numFmt w:val="bullet"/>
      <w:lvlText w:val="•"/>
      <w:lvlJc w:val="left"/>
      <w:pPr>
        <w:tabs>
          <w:tab w:val="num" w:pos="5760"/>
        </w:tabs>
        <w:ind w:left="5760" w:hanging="360"/>
      </w:pPr>
      <w:rPr>
        <w:rFonts w:ascii="Arial" w:hAnsi="Arial" w:hint="default"/>
      </w:rPr>
    </w:lvl>
    <w:lvl w:ilvl="8" w:tplc="D548AA34" w:tentative="1">
      <w:start w:val="1"/>
      <w:numFmt w:val="bullet"/>
      <w:lvlText w:val="•"/>
      <w:lvlJc w:val="left"/>
      <w:pPr>
        <w:tabs>
          <w:tab w:val="num" w:pos="6480"/>
        </w:tabs>
        <w:ind w:left="6480" w:hanging="360"/>
      </w:pPr>
      <w:rPr>
        <w:rFonts w:ascii="Arial" w:hAnsi="Arial" w:hint="default"/>
      </w:rPr>
    </w:lvl>
  </w:abstractNum>
  <w:abstractNum w:abstractNumId="7">
    <w:nsid w:val="6DD67A63"/>
    <w:multiLevelType w:val="hybridMultilevel"/>
    <w:tmpl w:val="1B3E8F52"/>
    <w:lvl w:ilvl="0" w:tplc="B79A13DC">
      <w:start w:val="1"/>
      <w:numFmt w:val="bullet"/>
      <w:lvlText w:val="•"/>
      <w:lvlJc w:val="left"/>
      <w:pPr>
        <w:tabs>
          <w:tab w:val="num" w:pos="720"/>
        </w:tabs>
        <w:ind w:left="720" w:hanging="360"/>
      </w:pPr>
      <w:rPr>
        <w:rFonts w:ascii="Arial" w:hAnsi="Arial" w:hint="default"/>
      </w:rPr>
    </w:lvl>
    <w:lvl w:ilvl="1" w:tplc="2ECE1336" w:tentative="1">
      <w:start w:val="1"/>
      <w:numFmt w:val="bullet"/>
      <w:lvlText w:val="•"/>
      <w:lvlJc w:val="left"/>
      <w:pPr>
        <w:tabs>
          <w:tab w:val="num" w:pos="1440"/>
        </w:tabs>
        <w:ind w:left="1440" w:hanging="360"/>
      </w:pPr>
      <w:rPr>
        <w:rFonts w:ascii="Arial" w:hAnsi="Arial" w:hint="default"/>
      </w:rPr>
    </w:lvl>
    <w:lvl w:ilvl="2" w:tplc="6104542E" w:tentative="1">
      <w:start w:val="1"/>
      <w:numFmt w:val="bullet"/>
      <w:lvlText w:val="•"/>
      <w:lvlJc w:val="left"/>
      <w:pPr>
        <w:tabs>
          <w:tab w:val="num" w:pos="2160"/>
        </w:tabs>
        <w:ind w:left="2160" w:hanging="360"/>
      </w:pPr>
      <w:rPr>
        <w:rFonts w:ascii="Arial" w:hAnsi="Arial" w:hint="default"/>
      </w:rPr>
    </w:lvl>
    <w:lvl w:ilvl="3" w:tplc="D70C9DC8" w:tentative="1">
      <w:start w:val="1"/>
      <w:numFmt w:val="bullet"/>
      <w:lvlText w:val="•"/>
      <w:lvlJc w:val="left"/>
      <w:pPr>
        <w:tabs>
          <w:tab w:val="num" w:pos="2880"/>
        </w:tabs>
        <w:ind w:left="2880" w:hanging="360"/>
      </w:pPr>
      <w:rPr>
        <w:rFonts w:ascii="Arial" w:hAnsi="Arial" w:hint="default"/>
      </w:rPr>
    </w:lvl>
    <w:lvl w:ilvl="4" w:tplc="7BCCA5F6" w:tentative="1">
      <w:start w:val="1"/>
      <w:numFmt w:val="bullet"/>
      <w:lvlText w:val="•"/>
      <w:lvlJc w:val="left"/>
      <w:pPr>
        <w:tabs>
          <w:tab w:val="num" w:pos="3600"/>
        </w:tabs>
        <w:ind w:left="3600" w:hanging="360"/>
      </w:pPr>
      <w:rPr>
        <w:rFonts w:ascii="Arial" w:hAnsi="Arial" w:hint="default"/>
      </w:rPr>
    </w:lvl>
    <w:lvl w:ilvl="5" w:tplc="6D68B338" w:tentative="1">
      <w:start w:val="1"/>
      <w:numFmt w:val="bullet"/>
      <w:lvlText w:val="•"/>
      <w:lvlJc w:val="left"/>
      <w:pPr>
        <w:tabs>
          <w:tab w:val="num" w:pos="4320"/>
        </w:tabs>
        <w:ind w:left="4320" w:hanging="360"/>
      </w:pPr>
      <w:rPr>
        <w:rFonts w:ascii="Arial" w:hAnsi="Arial" w:hint="default"/>
      </w:rPr>
    </w:lvl>
    <w:lvl w:ilvl="6" w:tplc="16F04184" w:tentative="1">
      <w:start w:val="1"/>
      <w:numFmt w:val="bullet"/>
      <w:lvlText w:val="•"/>
      <w:lvlJc w:val="left"/>
      <w:pPr>
        <w:tabs>
          <w:tab w:val="num" w:pos="5040"/>
        </w:tabs>
        <w:ind w:left="5040" w:hanging="360"/>
      </w:pPr>
      <w:rPr>
        <w:rFonts w:ascii="Arial" w:hAnsi="Arial" w:hint="default"/>
      </w:rPr>
    </w:lvl>
    <w:lvl w:ilvl="7" w:tplc="DDBC0DAE" w:tentative="1">
      <w:start w:val="1"/>
      <w:numFmt w:val="bullet"/>
      <w:lvlText w:val="•"/>
      <w:lvlJc w:val="left"/>
      <w:pPr>
        <w:tabs>
          <w:tab w:val="num" w:pos="5760"/>
        </w:tabs>
        <w:ind w:left="5760" w:hanging="360"/>
      </w:pPr>
      <w:rPr>
        <w:rFonts w:ascii="Arial" w:hAnsi="Arial" w:hint="default"/>
      </w:rPr>
    </w:lvl>
    <w:lvl w:ilvl="8" w:tplc="3E4C4F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
  <w:rsids>
    <w:rsidRoot w:val="00BF4BEF"/>
    <w:rsid w:val="00067B8B"/>
    <w:rsid w:val="000A644B"/>
    <w:rsid w:val="00220F35"/>
    <w:rsid w:val="002E7DF5"/>
    <w:rsid w:val="00462265"/>
    <w:rsid w:val="00490B44"/>
    <w:rsid w:val="004A7CF8"/>
    <w:rsid w:val="005E50A4"/>
    <w:rsid w:val="00656349"/>
    <w:rsid w:val="00713FB8"/>
    <w:rsid w:val="00733297"/>
    <w:rsid w:val="007566D4"/>
    <w:rsid w:val="00882289"/>
    <w:rsid w:val="00A75F8B"/>
    <w:rsid w:val="00A90BEC"/>
    <w:rsid w:val="00A948C3"/>
    <w:rsid w:val="00AA0E5E"/>
    <w:rsid w:val="00B3788A"/>
    <w:rsid w:val="00BF4BEF"/>
    <w:rsid w:val="00D50802"/>
    <w:rsid w:val="00D81DF3"/>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F3"/>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D81DF3"/>
    <w:pPr>
      <w:spacing w:after="0" w:line="240" w:lineRule="auto"/>
    </w:pPr>
    <w:rPr>
      <w:sz w:val="20"/>
      <w:szCs w:val="20"/>
    </w:rPr>
  </w:style>
  <w:style w:type="character" w:customStyle="1" w:styleId="NotedefinCar">
    <w:name w:val="Note de fin Car"/>
    <w:basedOn w:val="Policepardfaut"/>
    <w:link w:val="Notedefin"/>
    <w:uiPriority w:val="99"/>
    <w:semiHidden/>
    <w:rsid w:val="00D81DF3"/>
    <w:rPr>
      <w:rFonts w:eastAsiaTheme="minorHAnsi"/>
      <w:sz w:val="20"/>
      <w:szCs w:val="20"/>
      <w:lang w:eastAsia="en-US"/>
    </w:rPr>
  </w:style>
  <w:style w:type="character" w:styleId="Appeldenotedefin">
    <w:name w:val="endnote reference"/>
    <w:basedOn w:val="Policepardfaut"/>
    <w:uiPriority w:val="99"/>
    <w:semiHidden/>
    <w:unhideWhenUsed/>
    <w:rsid w:val="00D81DF3"/>
    <w:rPr>
      <w:vertAlign w:val="superscript"/>
    </w:rPr>
  </w:style>
  <w:style w:type="table" w:styleId="Grilledutableau">
    <w:name w:val="Table Grid"/>
    <w:basedOn w:val="TableauNormal"/>
    <w:uiPriority w:val="59"/>
    <w:rsid w:val="00D81D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81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F3"/>
    <w:rPr>
      <w:rFonts w:eastAsiaTheme="minorHAnsi"/>
      <w:lang w:eastAsia="en-US"/>
    </w:rPr>
  </w:style>
  <w:style w:type="character" w:styleId="Lienhypertexte">
    <w:name w:val="Hyperlink"/>
    <w:basedOn w:val="Policepardfaut"/>
    <w:uiPriority w:val="99"/>
    <w:unhideWhenUsed/>
    <w:rsid w:val="00D81DF3"/>
    <w:rPr>
      <w:color w:val="0000FF" w:themeColor="hyperlink"/>
      <w:u w:val="single"/>
    </w:rPr>
  </w:style>
  <w:style w:type="paragraph" w:styleId="Sansinterligne">
    <w:name w:val="No Spacing"/>
    <w:uiPriority w:val="1"/>
    <w:qFormat/>
    <w:rsid w:val="00D81DF3"/>
    <w:pPr>
      <w:spacing w:after="0" w:line="240" w:lineRule="auto"/>
    </w:pPr>
    <w:rPr>
      <w:rFonts w:eastAsiaTheme="minorHAnsi"/>
      <w:lang w:eastAsia="en-US"/>
    </w:rPr>
  </w:style>
  <w:style w:type="paragraph" w:styleId="Textedebulles">
    <w:name w:val="Balloon Text"/>
    <w:basedOn w:val="Normal"/>
    <w:link w:val="TextedebullesCar"/>
    <w:uiPriority w:val="99"/>
    <w:semiHidden/>
    <w:unhideWhenUsed/>
    <w:rsid w:val="00490B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B44"/>
    <w:rPr>
      <w:rFonts w:ascii="Tahoma" w:eastAsiaTheme="minorHAnsi" w:hAnsi="Tahoma" w:cs="Tahoma"/>
      <w:sz w:val="16"/>
      <w:szCs w:val="16"/>
      <w:lang w:eastAsia="en-US"/>
    </w:rPr>
  </w:style>
  <w:style w:type="paragraph" w:styleId="NormalWeb">
    <w:name w:val="Normal (Web)"/>
    <w:basedOn w:val="Normal"/>
    <w:uiPriority w:val="99"/>
    <w:semiHidden/>
    <w:unhideWhenUsed/>
    <w:rsid w:val="00A948C3"/>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718944786">
      <w:bodyDiv w:val="1"/>
      <w:marLeft w:val="0"/>
      <w:marRight w:val="0"/>
      <w:marTop w:val="0"/>
      <w:marBottom w:val="0"/>
      <w:divBdr>
        <w:top w:val="none" w:sz="0" w:space="0" w:color="auto"/>
        <w:left w:val="none" w:sz="0" w:space="0" w:color="auto"/>
        <w:bottom w:val="none" w:sz="0" w:space="0" w:color="auto"/>
        <w:right w:val="none" w:sz="0" w:space="0" w:color="auto"/>
      </w:divBdr>
      <w:divsChild>
        <w:div w:id="504397719">
          <w:marLeft w:val="0"/>
          <w:marRight w:val="0"/>
          <w:marTop w:val="106"/>
          <w:marBottom w:val="0"/>
          <w:divBdr>
            <w:top w:val="none" w:sz="0" w:space="0" w:color="auto"/>
            <w:left w:val="none" w:sz="0" w:space="0" w:color="auto"/>
            <w:bottom w:val="none" w:sz="0" w:space="0" w:color="auto"/>
            <w:right w:val="none" w:sz="0" w:space="0" w:color="auto"/>
          </w:divBdr>
        </w:div>
        <w:div w:id="1877308885">
          <w:marLeft w:val="0"/>
          <w:marRight w:val="0"/>
          <w:marTop w:val="106"/>
          <w:marBottom w:val="0"/>
          <w:divBdr>
            <w:top w:val="none" w:sz="0" w:space="0" w:color="auto"/>
            <w:left w:val="none" w:sz="0" w:space="0" w:color="auto"/>
            <w:bottom w:val="none" w:sz="0" w:space="0" w:color="auto"/>
            <w:right w:val="none" w:sz="0" w:space="0" w:color="auto"/>
          </w:divBdr>
        </w:div>
        <w:div w:id="159080804">
          <w:marLeft w:val="0"/>
          <w:marRight w:val="0"/>
          <w:marTop w:val="106"/>
          <w:marBottom w:val="0"/>
          <w:divBdr>
            <w:top w:val="none" w:sz="0" w:space="0" w:color="auto"/>
            <w:left w:val="none" w:sz="0" w:space="0" w:color="auto"/>
            <w:bottom w:val="none" w:sz="0" w:space="0" w:color="auto"/>
            <w:right w:val="none" w:sz="0" w:space="0" w:color="auto"/>
          </w:divBdr>
        </w:div>
        <w:div w:id="1335958899">
          <w:marLeft w:val="0"/>
          <w:marRight w:val="0"/>
          <w:marTop w:val="106"/>
          <w:marBottom w:val="0"/>
          <w:divBdr>
            <w:top w:val="none" w:sz="0" w:space="0" w:color="auto"/>
            <w:left w:val="none" w:sz="0" w:space="0" w:color="auto"/>
            <w:bottom w:val="none" w:sz="0" w:space="0" w:color="auto"/>
            <w:right w:val="none" w:sz="0" w:space="0" w:color="auto"/>
          </w:divBdr>
        </w:div>
        <w:div w:id="1406684560">
          <w:marLeft w:val="0"/>
          <w:marRight w:val="0"/>
          <w:marTop w:val="106"/>
          <w:marBottom w:val="0"/>
          <w:divBdr>
            <w:top w:val="none" w:sz="0" w:space="0" w:color="auto"/>
            <w:left w:val="none" w:sz="0" w:space="0" w:color="auto"/>
            <w:bottom w:val="none" w:sz="0" w:space="0" w:color="auto"/>
            <w:right w:val="none" w:sz="0" w:space="0" w:color="auto"/>
          </w:divBdr>
        </w:div>
      </w:divsChild>
    </w:div>
    <w:div w:id="19157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1.sl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cfrance.org" TargetMode="External"/><Relationship Id="rId5" Type="http://schemas.openxmlformats.org/officeDocument/2006/relationships/footnotes" Target="footnotes.xml"/><Relationship Id="rId10" Type="http://schemas.openxmlformats.org/officeDocument/2006/relationships/package" Target="embeddings/Diapositive_Microsoft_Office_PowerPoint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nrs.fr/accueil/situations-travail/travailleurs-particuliers/vieillissant.html" TargetMode="External"/><Relationship Id="rId2" Type="http://schemas.openxmlformats.org/officeDocument/2006/relationships/hyperlink" Target="http://www.travailler-mieux.gouv.fr/IMG/pdf/livreblancstress.pdf" TargetMode="External"/><Relationship Id="rId1" Type="http://schemas.openxmlformats.org/officeDocument/2006/relationships/hyperlink" Target="http://www.travailler-mieux.gouv.fr/IMG/pdf/livreblancstress.pdf" TargetMode="External"/><Relationship Id="rId4" Type="http://schemas.openxmlformats.org/officeDocument/2006/relationships/hyperlink" Target="http://www.inrs.fr/accueil/situations-travail/travailleurs-particuliers/vieillissa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1788</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Marie-anne</dc:creator>
  <cp:lastModifiedBy>Marie-anne</cp:lastModifiedBy>
  <cp:revision>11</cp:revision>
  <dcterms:created xsi:type="dcterms:W3CDTF">2015-04-24T12:08:00Z</dcterms:created>
  <dcterms:modified xsi:type="dcterms:W3CDTF">2015-04-24T13:51:00Z</dcterms:modified>
</cp:coreProperties>
</file>